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left"/>
      </w:pPr>
      <w:r>
        <w:rPr>
          <w:rFonts w:ascii="Arial" w:cs="Arial" w:eastAsia="Arial" w:hAnsi="Arial"/>
          <w:b/>
          <w:bCs/>
          <w:i w:val="false"/>
          <w:iCs w:val="false"/>
          <w:color w:val="1A5276"/>
          <w:sz w:val="28"/>
          <w:szCs w:val="28"/>
        </w:rPr>
        <w:t xml:space="preserve">Project memo — writing PTIntro for four audiences</w:t>
      </w:r>
    </w:p>
    <w:p>
      <w:pPr>
        <w:spacing w:after="60" w:before="60" w:line="240"/>
        <w:jc w:val="left"/>
      </w:pPr>
      <w:r>
        <w:rPr>
          <w:rFonts w:ascii="Arial" w:cs="Arial" w:eastAsia="Arial" w:hAnsi="Arial"/>
          <w:b w:val="false"/>
          <w:bCs w:val="false"/>
          <w:i/>
          <w:iCs/>
          <w:color w:val="5D6D7E"/>
          <w:sz w:val="18"/>
          <w:szCs w:val="18"/>
        </w:rPr>
        <w:t xml:space="preserve">Uses the attached audience notes (Jočys 2024; McMurrey technical-writing chapter). Short name PTIntro.</w:t>
      </w:r>
    </w:p>
    <w:p>
      <w:pPr>
        <w:pStyle w:val="Heading1"/>
        <w:spacing w:after="80" w:before="160"/>
      </w:pPr>
      <w:r>
        <w:rPr>
          <w:rFonts w:ascii="Arial" w:cs="Arial" w:eastAsia="Arial" w:hAnsi="Arial"/>
          <w:b/>
          <w:bCs/>
          <w:color w:val="1A5276"/>
          <w:sz w:val="26"/>
          <w:szCs w:val="26"/>
        </w:rPr>
        <w:t xml:space="preserve">Situation</w:t>
      </w:r>
    </w:p>
    <w:p>
      <w:pPr>
        <w:spacing w:after="60" w:before="60" w:line="240"/>
        <w:jc w:val="left"/>
      </w:pPr>
      <w:r>
        <w:rPr>
          <w:rFonts w:ascii="Arial" w:cs="Arial" w:eastAsia="Arial" w:hAnsi="Arial"/>
          <w:b w:val="false"/>
          <w:bCs w:val="false"/>
          <w:i w:val="false"/>
          <w:iCs w:val="false"/>
          <w:color w:val="1C2833"/>
          <w:sz w:val="21"/>
          <w:szCs w:val="21"/>
        </w:rPr>
        <w:t xml:space="preserve">The artifact is a teaching lab, not a deployed classifier. Readers will include the person typing the first tensor, the engineer reviewing the Module contract, the manager asking whether this is “AI we can ship,” and a curious nonspecialist who only wants to know what the three flower names mean. Time spans differ: a skeleton cell is a 3-minute aha; the memo itself can take a longer read.</w:t>
      </w:r>
    </w:p>
    <w:p>
      <w:pPr>
        <w:pStyle w:val="Heading1"/>
        <w:spacing w:after="80" w:before="160"/>
      </w:pPr>
      <w:r>
        <w:rPr>
          <w:rFonts w:ascii="Arial" w:cs="Arial" w:eastAsia="Arial" w:hAnsi="Arial"/>
          <w:b/>
          <w:bCs/>
          <w:color w:val="1A5276"/>
          <w:sz w:val="26"/>
          <w:szCs w:val="26"/>
        </w:rPr>
        <w:t xml:space="preserve">1. Experts — research / ML engineers</w:t>
      </w:r>
    </w:p>
    <w:p>
      <w:pPr>
        <w:spacing w:after="60" w:before="60" w:line="240"/>
        <w:jc w:val="left"/>
      </w:pPr>
      <w:r>
        <w:rPr>
          <w:rFonts w:ascii="Arial" w:cs="Arial" w:eastAsia="Arial" w:hAnsi="Arial"/>
          <w:b w:val="false"/>
          <w:bCs w:val="false"/>
          <w:i w:val="false"/>
          <w:iCs w:val="false"/>
          <w:color w:val="1C2833"/>
          <w:sz w:val="21"/>
          <w:szCs w:val="21"/>
        </w:rPr>
        <w:t xml:space="preserve">Skip the EBITDA-style primer. They already know a static vs dynamic graph. Lead with: eager execution, the autograd tape, why CrossEntropyLoss wants raw logits, and the 131-parameter count. Show the XOR counter-example so they see the ReLU is not cargo-culted. Abbreviations (CE, SGD, ReLU, HDI-level talk of capacity) stay packed. Preferred visual: loss curve + confusion, not a decorated icon. Flag the limitation in one line — n=150, full batch, no DataLoader.</w:t>
      </w:r>
    </w:p>
    <w:p>
      <w:pPr>
        <w:pStyle w:val="Heading1"/>
        <w:spacing w:after="80" w:before="160"/>
      </w:pPr>
      <w:r>
        <w:rPr>
          <w:rFonts w:ascii="Arial" w:cs="Arial" w:eastAsia="Arial" w:hAnsi="Arial"/>
          <w:b/>
          <w:bCs/>
          <w:color w:val="1A5276"/>
          <w:sz w:val="26"/>
          <w:szCs w:val="26"/>
        </w:rPr>
        <w:t xml:space="preserve">2. Technicians — the person running the notebook</w:t>
      </w:r>
    </w:p>
    <w:p>
      <w:pPr>
        <w:spacing w:after="60" w:before="60" w:line="240"/>
        <w:jc w:val="left"/>
      </w:pPr>
      <w:r>
        <w:rPr>
          <w:rFonts w:ascii="Arial" w:cs="Arial" w:eastAsia="Arial" w:hAnsi="Arial"/>
          <w:b w:val="false"/>
          <w:bCs w:val="false"/>
          <w:i w:val="false"/>
          <w:iCs w:val="false"/>
          <w:color w:val="1C2833"/>
          <w:sz w:val="21"/>
          <w:szCs w:val="21"/>
        </w:rPr>
        <w:t xml:space="preserve">They build, operate, and repair the snippet. Give them the contract in order: dtypes, split, Module init, five-line loop, eval pair. Spell out the crash conditions (float labels, softmax-then-CE, missing zero_grad). Cheatsheet tables beat prose. Code &gt; theory. The Sequential alternate is for them — same capacity, fewer lines to maintain.</w:t>
      </w:r>
    </w:p>
    <w:p>
      <w:pPr>
        <w:pStyle w:val="Heading1"/>
        <w:spacing w:after="80" w:before="160"/>
      </w:pPr>
      <w:r>
        <w:rPr>
          <w:rFonts w:ascii="Arial" w:cs="Arial" w:eastAsia="Arial" w:hAnsi="Arial"/>
          <w:b/>
          <w:bCs/>
          <w:color w:val="1A5276"/>
          <w:sz w:val="26"/>
          <w:szCs w:val="26"/>
        </w:rPr>
        <w:t xml:space="preserve">3. Executives — time-poor decision makers</w:t>
      </w:r>
    </w:p>
    <w:p>
      <w:pPr>
        <w:spacing w:after="60" w:before="60" w:line="240"/>
        <w:jc w:val="left"/>
      </w:pPr>
      <w:r>
        <w:rPr>
          <w:rFonts w:ascii="Arial" w:cs="Arial" w:eastAsia="Arial" w:hAnsi="Arial"/>
          <w:b w:val="false"/>
          <w:bCs w:val="false"/>
          <w:i w:val="false"/>
          <w:iCs w:val="false"/>
          <w:color w:val="1C2833"/>
          <w:sz w:val="21"/>
          <w:szCs w:val="21"/>
        </w:rPr>
        <w:t xml:space="preserve">Jump to the aha: on a 30-flower hold-out the net hits 29/30, two points above a class-mean baseline, in seconds on a laptop CPU. That is a teaching prototype, not a product. Do not explain WACC-equivalents like autograd. Do explain the consequence: this stack will not identify flowers in the field, will not run on a phone camera, and is not a hiring test for a computer-vision team. Waterfall-style table of metric / value is the finance-friendly view.</w:t>
      </w:r>
    </w:p>
    <w:p>
      <w:pPr>
        <w:pStyle w:val="Heading1"/>
        <w:spacing w:after="80" w:before="160"/>
      </w:pPr>
      <w:r>
        <w:rPr>
          <w:rFonts w:ascii="Arial" w:cs="Arial" w:eastAsia="Arial" w:hAnsi="Arial"/>
          <w:b/>
          <w:bCs/>
          <w:color w:val="1A5276"/>
          <w:sz w:val="26"/>
          <w:szCs w:val="26"/>
        </w:rPr>
        <w:t xml:space="preserve">4. Nonspecialists</w:t>
      </w:r>
    </w:p>
    <w:p>
      <w:pPr>
        <w:spacing w:after="60" w:before="60" w:line="240"/>
        <w:jc w:val="left"/>
      </w:pPr>
      <w:r>
        <w:rPr>
          <w:rFonts w:ascii="Arial" w:cs="Arial" w:eastAsia="Arial" w:hAnsi="Arial"/>
          <w:b w:val="false"/>
          <w:bCs w:val="false"/>
          <w:i w:val="false"/>
          <w:iCs w:val="false"/>
          <w:color w:val="1C2833"/>
          <w:sz w:val="21"/>
          <w:szCs w:val="21"/>
        </w:rPr>
        <w:t xml:space="preserve">Four numbers per flower. The computer votes for one of three names: setosa, versicolor, virginica. It studied 120 flowers and then tried 30 it had not seen. It got 29 right. The one miss is the two species that look alike. Bars and the confusion grid are safer than a boxplot of logits. Do not say “cross-entropy.” Say “how surprised the computer was, on average.” The friendly-robot version of a neural net: a stack of weighted votes with a simple on/off gate (ReLU) in the middle.</w:t>
      </w:r>
    </w:p>
    <w:p>
      <w:pPr>
        <w:pStyle w:val="Heading1"/>
        <w:spacing w:after="80" w:before="160"/>
      </w:pPr>
      <w:r>
        <w:rPr>
          <w:rFonts w:ascii="Arial" w:cs="Arial" w:eastAsia="Arial" w:hAnsi="Arial"/>
          <w:b/>
          <w:bCs/>
          <w:color w:val="1A5276"/>
          <w:sz w:val="26"/>
          <w:szCs w:val="26"/>
        </w:rPr>
        <w:t xml:space="preserve">Mixed audience in one notebook</w:t>
      </w:r>
    </w:p>
    <w:p>
      <w:pPr>
        <w:spacing w:after="60" w:before="60" w:line="240"/>
        <w:jc w:val="left"/>
      </w:pPr>
      <w:r>
        <w:rPr>
          <w:rFonts w:ascii="Arial" w:cs="Arial" w:eastAsia="Arial" w:hAnsi="Arial"/>
          <w:b w:val="false"/>
          <w:bCs w:val="false"/>
          <w:i w:val="false"/>
          <w:iCs w:val="false"/>
          <w:color w:val="1C2833"/>
          <w:sz w:val="21"/>
          <w:szCs w:val="21"/>
        </w:rPr>
        <w:t xml:space="preserve">Headings route the four readers. Cells 0–2 are the nonspecialist + executive map. Cells 1–7 are the technician path. Alternates, XOR, and the simulation heatmap are the expert appendix. That matches McMurrey’s “write each section for the audience that will actually open it.”</w:t>
      </w:r>
    </w:p>
    <w:p>
      <w:pPr>
        <w:pStyle w:val="Heading1"/>
        <w:spacing w:after="80" w:before="160"/>
      </w:pPr>
      <w:r>
        <w:rPr>
          <w:rFonts w:ascii="Arial" w:cs="Arial" w:eastAsia="Arial" w:hAnsi="Arial"/>
          <w:b/>
          <w:bCs/>
          <w:color w:val="1A5276"/>
          <w:sz w:val="26"/>
          <w:szCs w:val="26"/>
        </w:rPr>
        <w:t xml:space="preserve">What good / bad means here</w:t>
      </w:r>
    </w:p>
    <w:p>
      <w:pPr>
        <w:spacing w:after="60" w:before="60" w:line="240"/>
        <w:jc w:val="left"/>
      </w:pPr>
      <w:r>
        <w:rPr>
          <w:rFonts w:ascii="Arial" w:cs="Arial" w:eastAsia="Arial" w:hAnsi="Arial"/>
          <w:b w:val="false"/>
          <w:bCs w:val="false"/>
          <w:i w:val="false"/>
          <w:iCs w:val="false"/>
          <w:color w:val="1C2833"/>
          <w:sz w:val="21"/>
          <w:szCs w:val="21"/>
        </w:rPr>
        <w:t xml:space="preserve">96.7% is good only as evidence the loop is wired. It is a weak claim about botany. 47.5% on linear XOR is good evidence the hidden layer is doing work. A 100% Iris score after 2,000 epochs is not better — it is the same separable table with more patience.</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5D6D7E"/>
        <w:sz w:val="16"/>
        <w:szCs w:val="16"/>
      </w:rPr>
      <w:t xml:space="preserve">PTIntro project memo  ·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i w:val="false"/>
        <w:iCs w:val="false"/>
        <w:color w:val="5D6D7E"/>
        <w:sz w:val="16"/>
        <w:szCs w:val="16"/>
      </w:rPr>
      <w:t xml:space="preserve">PTIntro  ·  PyTorch tensors + Iris classifier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1A5276"/>
      <w:sz w:val="26"/>
      <w:szCs w:val="26"/>
    </w:rPr>
  </w:style>
  <w:style w:type="paragraph" w:styleId="Heading2">
    <w:name w:val="Heading 2"/>
    <w:basedOn w:val="Normal"/>
    <w:next w:val="Normal"/>
    <w:qFormat/>
    <w:pPr>
      <w:spacing w:after="60" w:before="140"/>
      <w:outlineLvl w:val="1"/>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2026-09-11T07:13:18.451Z</dcterms:created>
  <dcterms:modified xsi:type="dcterms:W3CDTF">2026-09-11T07:13:18.451Z</dcterms:modified>
</cp:coreProperties>
</file>

<file path=docProps/custom.xml><?xml version="1.0" encoding="utf-8"?>
<Properties xmlns="http://schemas.openxmlformats.org/officeDocument/2006/custom-properties" xmlns:vt="http://schemas.openxmlformats.org/officeDocument/2006/docPropsVTypes"/>
</file>