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 Focus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Essential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Does search interest track the physical CO₂ trajectory or respond mainly to short-term events?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Are there lead-lag relationships between public concern and CO₂ growth rates?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 lagged search volume improve short-horizon models of CO₂ growth relative to pure AR / seasonal benchmarks?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Core workflow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gtrendsR for keywords such as “climate change”, “global warming”, “carbon footprint”, “net zero”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Monthly atmospheric CO₂ (Mauna Loa / global) — synthetic series included for full reproducibility; replace with real NOAA data for the live Capstone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Growth-rate construction (first difference / YoY), lag features, optional deseasonalization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Dual-trajectory time-series plots, faceted keyword views, lag scatters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Simple &amp; multiple linear regression + high- vs low-search t-tests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skills exercised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Multi-source acquisition, dplyr cleaning &amp; lags, ggplot2 dual trajectories and diagnostics, hypothesis testing, linear regression with residual analysis — the same full skill set used in the Housing and Streaming Wars Capstones, and building directly on the earlier Visualizing Carbon Dioxide Levels project.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now have three complete Capstone options ready: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Streaming Wars &amp; Platform Value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Climate Concern vs. Atmospheric CO₂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Housing Search Trends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three follow the identical deliverable structure and are ready for customization with live data.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2026-08-22T17:57:21.569Z</dcterms:created>
  <dcterms:modified xsi:type="dcterms:W3CDTF">2026-08-22T17:57:21.569Z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