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Climate Concern vs. Actual Atmospheric CO₂</w:t>
      </w:r>
    </w:p>
    <w:p>
      <w:r>
        <w:rPr>
          <w:i/>
          <w:iCs/>
          <w:color w:val="555555"/>
          <w:sz w:val="18"/>
          <w:szCs w:val="18"/>
        </w:rPr>
        <w:t xml:space="preserve">Capstone Project using Google Trends (gtrendsR) + Mauna Loa / Global CO₂ Record</w:t>
      </w:r>
    </w:p>
    <w:p>
      <w:pPr>
        <w:pStyle w:val="Heading2"/>
      </w:pPr>
      <w:r>
        <w:t xml:space="preserve">Problem Statement</w:t>
      </w:r>
    </w:p>
    <w:p>
      <w:pPr>
        <w:spacing w:after="60"/>
      </w:pPr>
      <w:r>
        <w:t xml:space="preserve">Atmospheric CO₂ has risen steadily since continuous records began, while public attention to climate change—measured by Google search volumes—fluctuates with events, media, and politics. The central questions are: (1) Does search interest track the physical CO₂ trajectory or respond mainly to short-term events? (2) Are there lead-lag relationships between concern and CO₂ growth rates? (3) Can lagged search volume improve short-horizon models of CO₂ growth relative to pure autoregressive or seasonal benchmarks?</w:t>
      </w:r>
    </w:p>
    <w:p>
      <w:pPr>
        <w:pStyle w:val="Heading2"/>
      </w:pPr>
      <w:r>
        <w:t xml:space="preserve">Solution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Data: </w:t>
      </w:r>
      <w:r>
        <w:t xml:space="preserve">gtrendsR for climate keywords; monthly Mauna Loa / global CO₂ mole fraction (NOAA GML).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Cleaning: </w:t>
      </w:r>
      <w:r>
        <w:t xml:space="preserve">date alignment, &lt;1 → 0, weekly→monthly aggregation, growth-rate calculation, optional deseasonalization, lag features.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Exploration: </w:t>
      </w:r>
      <w:r>
        <w:t xml:space="preserve">ggplot2 dual-trajectory plots, faceted keyword series, lag scatters, seasonal diagnostics.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Modeling: </w:t>
      </w:r>
      <w:r>
        <w:t xml:space="preserve">simple &amp; multiple linear regression of CO₂ growth on lagged search volume; high- vs low-search t-tests; residual checks.</w:t>
      </w:r>
    </w:p>
    <w:p>
      <w:pPr>
        <w:pStyle w:val="Heading2"/>
      </w:pPr>
      <w:r>
        <w:t xml:space="preserve">Solution (Key Findings)</w:t>
      </w:r>
    </w:p>
    <w:p>
      <w:pPr>
        <w:pStyle w:val="ListParagraph"/>
        <w:numPr>
          <w:ilvl w:val="0"/>
          <w:numId w:val="2"/>
        </w:numPr>
      </w:pPr>
      <w:r>
        <w:t xml:space="preserve">Search interest spikes around IPCC reports, COPs, and extreme-weather seasons, while CO₂ follows a smooth secular rise with a strong annual cycle.</w:t>
      </w:r>
    </w:p>
    <w:p>
      <w:pPr>
        <w:pStyle w:val="ListParagraph"/>
        <w:numPr>
          <w:ilvl w:val="0"/>
          <w:numId w:val="2"/>
        </w:numPr>
      </w:pPr>
      <w:r>
        <w:t xml:space="preserve">Contemporaneous correlations are weak to moderate; short lags (1–3 months) often show the strongest associations.</w:t>
      </w:r>
    </w:p>
    <w:p>
      <w:pPr>
        <w:pStyle w:val="ListParagraph"/>
        <w:numPr>
          <w:ilvl w:val="0"/>
          <w:numId w:val="2"/>
        </w:numPr>
      </w:pPr>
      <w:r>
        <w:t xml:space="preserve">“Net zero” and “carbon footprint” are more recent and episodic; “climate change” / “global warming” have longer continuous histories.</w:t>
      </w:r>
    </w:p>
    <w:p>
      <w:pPr>
        <w:pStyle w:val="ListParagraph"/>
        <w:numPr>
          <w:ilvl w:val="0"/>
          <w:numId w:val="2"/>
        </w:numPr>
      </w:pPr>
      <w:r>
        <w:t xml:space="preserve">Lagged search volume provides modest incremental explanatory power for short-horizon CO₂ growth-rate models beyond pure autoregressive terms.</w:t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Public concern (Google Trends) and physical CO₂ measurements are complementary signals, not substitutes.</w:t>
      </w:r>
    </w:p>
    <w:p>
      <w:pPr>
        <w:pStyle w:val="ListParagraph"/>
        <w:numPr>
          <w:ilvl w:val="0"/>
          <w:numId w:val="2"/>
        </w:numPr>
      </w:pPr>
      <w:r>
        <w:t xml:space="preserve">Attention metrics respond strongly to discourse and events; the CO₂ record is dominated by emissions and the annual cycle.</w:t>
      </w:r>
    </w:p>
    <w:p>
      <w:pPr>
        <w:pStyle w:val="ListParagraph"/>
        <w:numPr>
          <w:ilvl w:val="0"/>
          <w:numId w:val="2"/>
        </w:numPr>
      </w:pPr>
      <w:r>
        <w:t xml:space="preserve">The same tidyverse + ggplot2 + modeling workflow used for housing or streaming topics transfers cleanly to environmental attention data.</w:t>
      </w:r>
    </w:p>
    <w:p>
      <w:pPr>
        <w:pStyle w:val="ListParagraph"/>
        <w:numPr>
          <w:ilvl w:val="0"/>
          <w:numId w:val="2"/>
        </w:numPr>
      </w:pPr>
      <w:r>
        <w:t xml:space="preserve">Further work: temperature anomalies, country-level Trends, event indicators for COPs/IPCC, ARIMAX models, interactive dashboard.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Codecademy Analyze Data with R Capstone  |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Climate Concern vs. Atmospheric CO₂ Capstone |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2026-08-22T17:50:18.203Z</dcterms:created>
  <dcterms:modified xsi:type="dcterms:W3CDTF">2026-08-22T17:50:18.204Z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