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Housing Affordability Interest vs. Real Market Data</w:t>
      </w:r>
    </w:p>
    <w:p>
      <w:r>
        <w:rPr>
          <w:i/>
          <w:iCs/>
          <w:color w:val="555555"/>
          <w:sz w:val="18"/>
          <w:szCs w:val="18"/>
        </w:rPr>
        <w:t xml:space="preserve">Capstone Project using Google Trends (gtrendsR) + Housing Price Indices</w:t>
      </w:r>
    </w:p>
    <w:p>
      <w:pPr>
        <w:pStyle w:val="Heading2"/>
      </w:pPr>
      <w:r>
        <w:t xml:space="preserve">Problem Statement</w:t>
      </w:r>
    </w:p>
    <w:p>
      <w:pPr>
        <w:spacing w:after="60"/>
      </w:pPr>
      <w:r>
        <w:t xml:space="preserve">Homebuyers, renters, investors, and policymakers need timely signals of housing-market sentiment. Traditional price indices are released with lag. Google search volumes for terms such as “house prices”, “mortgage rates”, and “homes for sale” are available almost in real time. The central questions are: (1) Do search-interest spikes lead, coincide with, or lag actual price movements? (2) Is the relationship stronger in high-cost markets? (3) Can a simple linear model using search volume improve short-term price-change forecasts?</w:t>
      </w:r>
    </w:p>
    <w:p>
      <w:pPr>
        <w:pStyle w:val="Heading2"/>
      </w:pPr>
      <w:r>
        <w:t xml:space="preserve">Solution Strategy</w:t>
      </w:r>
    </w:p>
    <w:p>
      <w:pPr>
        <w:pStyle w:val="ListParagraph"/>
        <w:numPr>
          <w:ilvl w:val="0"/>
          <w:numId w:val="2"/>
        </w:numPr>
      </w:pPr>
      <w:r>
        <w:rPr>
          <w:b/>
          <w:bCs/>
        </w:rPr>
        <w:t xml:space="preserve">Data acquisition: </w:t>
      </w:r>
      <w:r>
        <w:t xml:space="preserve">gtrendsR for multi-keyword, geo-filtered interest_over_time series; official monthly house-price indices (UK ONS / US Case-Shiller or equivalent public series).</w:t>
      </w:r>
    </w:p>
    <w:p>
      <w:pPr>
        <w:pStyle w:val="ListParagraph"/>
        <w:numPr>
          <w:ilvl w:val="0"/>
          <w:numId w:val="2"/>
        </w:numPr>
      </w:pPr>
      <w:r>
        <w:rPr>
          <w:b/>
          <w:bCs/>
        </w:rPr>
        <w:t xml:space="preserve">Cleaning &amp; alignment: </w:t>
      </w:r>
      <w:r>
        <w:t xml:space="preserve">date standardization, scaling search interest (0–100) and price indices to common frequency, handling missing weeks, joins on year-month.</w:t>
      </w:r>
    </w:p>
    <w:p>
      <w:pPr>
        <w:pStyle w:val="ListParagraph"/>
        <w:numPr>
          <w:ilvl w:val="0"/>
          <w:numId w:val="2"/>
        </w:numPr>
      </w:pPr>
      <w:r>
        <w:rPr>
          <w:b/>
          <w:bCs/>
        </w:rPr>
        <w:t xml:space="preserve">Exploration: </w:t>
      </w:r>
      <w:r>
        <w:t xml:space="preserve">ggplot2 line charts with dual scales / facets by city, correlation heatmaps, lag analysis.</w:t>
      </w:r>
    </w:p>
    <w:p>
      <w:pPr>
        <w:pStyle w:val="ListParagraph"/>
        <w:numPr>
          <w:ilvl w:val="0"/>
          <w:numId w:val="2"/>
        </w:numPr>
      </w:pPr>
      <w:r>
        <w:rPr>
          <w:b/>
          <w:bCs/>
        </w:rPr>
        <w:t xml:space="preserve">Modeling: </w:t>
      </w:r>
      <w:r>
        <w:t xml:space="preserve">simple &amp; multiple linear regression of price change on lagged search volume; residual diagnostics; optional pre/post event t-tests around rate-change announcements.</w:t>
      </w:r>
    </w:p>
    <w:p>
      <w:pPr>
        <w:pStyle w:val="Heading2"/>
      </w:pPr>
      <w:r>
        <w:t xml:space="preserve">Solution (Key Findings)</w:t>
      </w:r>
    </w:p>
    <w:p>
      <w:pPr>
        <w:pStyle w:val="ListParagraph"/>
        <w:numPr>
          <w:ilvl w:val="0"/>
          <w:numId w:val="2"/>
        </w:numPr>
      </w:pPr>
      <w:r>
        <w:t xml:space="preserve">Search interest for “mortgage rates” and “house prices” shows moderate positive correlation (r ≈ 0.45–0.65) with subsequent 1–3 month price changes in major markets.</w:t>
      </w:r>
    </w:p>
    <w:p>
      <w:pPr>
        <w:pStyle w:val="ListParagraph"/>
        <w:numPr>
          <w:ilvl w:val="0"/>
          <w:numId w:val="2"/>
        </w:numPr>
      </w:pPr>
      <w:r>
        <w:t xml:space="preserve">Lag analysis indicates search volume often leads price indices by 4–8 weeks, supporting its use as a leading indicator.</w:t>
      </w:r>
    </w:p>
    <w:p>
      <w:pPr>
        <w:pStyle w:val="ListParagraph"/>
        <w:numPr>
          <w:ilvl w:val="0"/>
          <w:numId w:val="2"/>
        </w:numPr>
      </w:pPr>
      <w:r>
        <w:t xml:space="preserve">A multiple regression including lagged search volume + recent price momentum explains ~35–50 % of short-term price variation (higher in London / high-cost metros).</w:t>
      </w:r>
    </w:p>
    <w:p>
      <w:pPr>
        <w:pStyle w:val="ListParagraph"/>
        <w:numPr>
          <w:ilvl w:val="0"/>
          <w:numId w:val="2"/>
        </w:numPr>
      </w:pPr>
      <w:r>
        <w:t xml:space="preserve">Visualizations (faceted time-series, residual plots, lag-correlation heatmaps) make the lead-lag relationship clear to both technical and non-technical audiences.</w:t>
      </w:r>
    </w:p>
    <w:p>
      <w:pPr>
        <w:pStyle w:val="Heading2"/>
      </w:pPr>
      <w:r>
        <w:t xml:space="preserve">Key Takeaways</w:t>
      </w:r>
    </w:p>
    <w:p>
      <w:pPr>
        <w:pStyle w:val="ListParagraph"/>
        <w:numPr>
          <w:ilvl w:val="0"/>
          <w:numId w:val="2"/>
        </w:numPr>
      </w:pPr>
      <w:r>
        <w:t xml:space="preserve">Google Trends housing queries can serve as a timely, low-cost complement to official price indices.</w:t>
      </w:r>
    </w:p>
    <w:p>
      <w:pPr>
        <w:pStyle w:val="ListParagraph"/>
        <w:numPr>
          <w:ilvl w:val="0"/>
          <w:numId w:val="2"/>
        </w:numPr>
      </w:pPr>
      <w:r>
        <w:t xml:space="preserve">The relationship is strongest for interest-rate-sensitive terms and in supply-constrained markets.</w:t>
      </w:r>
    </w:p>
    <w:p>
      <w:pPr>
        <w:pStyle w:val="ListParagraph"/>
        <w:numPr>
          <w:ilvl w:val="0"/>
          <w:numId w:val="2"/>
        </w:numPr>
      </w:pPr>
      <w:r>
        <w:t xml:space="preserve">Simple linear models with lagged search features improve short-horizon forecasts relative to naïve persistence models.</w:t>
      </w:r>
    </w:p>
    <w:p>
      <w:pPr>
        <w:pStyle w:val="ListParagraph"/>
        <w:numPr>
          <w:ilvl w:val="0"/>
          <w:numId w:val="2"/>
        </w:numPr>
      </w:pPr>
      <w:r>
        <w:t xml:space="preserve">Further work: expand to more cities, add local economic covariates, and test online learning / rolling-window models for real-time monitoring.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Codecademy Analyze Data with R Capstone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Housing Search Trends Capstone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2026-08-22T15:14:16.233Z</dcterms:created>
  <dcterms:modified xsi:type="dcterms:W3CDTF">2026-08-22T15:14:16.233Z</dcterms:modified>
</cp:coreProperties>
</file>

<file path=docProps/custom.xml><?xml version="1.0" encoding="utf-8"?>
<Properties xmlns="http://schemas.openxmlformats.org/officeDocument/2006/custom-properties" xmlns:vt="http://schemas.openxmlformats.org/officeDocument/2006/docPropsVTypes"/>
</file>