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Cool T-Shirts Website Funnel Analysis</w:t>
      </w:r>
    </w:p>
    <w:p>
      <w:pPr>
        <w:spacing w:after="60"/>
      </w:pPr>
      <w:r>
        <w:rPr>
          <w:color w:val="4a5568"/>
          <w:sz w:val="18"/>
          <w:szCs w:val="18"/>
        </w:rPr>
        <w:t xml:space="preserve">Extended R / dplyr project  •  Joining Tables + Funnel Metrics + Simulation</w:t>
      </w:r>
    </w:p>
    <w:p>
      <w:pPr>
        <w:pStyle w:val="Heading2"/>
      </w:pPr>
      <w:r>
        <w:t xml:space="preserve">Problem Statement</w:t>
      </w:r>
    </w:p>
    <w:p>
      <w:pPr>
        <w:spacing w:after="80"/>
      </w:pPr>
      <w:r>
        <w:t xml:space="preserve">Cool T-Shirts Inc. tracks website activity in three separate tables (visits, checkouts, purchases) that share a user_id key. Leadership needs a clear picture of the conversion funnel: how many visitors reach checkout, how many complete a purchase, the average time between stages, and where the largest drop-offs occur. The data must be joined correctly so that conversion rates are calculated from the proper denominators, and results must be communicated differently to analysts versus executives.</w:t>
      </w:r>
    </w:p>
    <w:p>
      <w:pPr>
        <w:pStyle w:val="Heading2"/>
      </w:pPr>
      <w:r>
        <w:t xml:space="preserve">Solution Strategy</w:t>
      </w:r>
    </w:p>
    <w:p>
      <w:pPr>
        <w:spacing w:after="40"/>
      </w:pPr>
      <w:r>
        <w:t xml:space="preserve">1. Load the three CSVs with readr and inspect schema/row counts.  2. Inner-join visits ⨝ checkouts to obtain the set of users who reached checkout and compute time-to-checkout.  3. Left-join the full visit base to both later tables so non-converters are retained for rate calculation.  4. Derive stage counts, visit→checkout, checkout→purchase and overall conversion rates.  5. Visualise the absolute funnel and the time distribution.  6. Provide alternate base::merge / full_join diagnostics, monthly breakdowns, and a parameterised Monte-Carlo simulation that lets stakeholders explore sensitivity to conversion probabilities and time noise.  7. Package insights with audience-adapted messaging (analyst vs executive).</w:t>
      </w:r>
    </w:p>
    <w:p>
      <w:pPr>
        <w:pStyle w:val="Heading2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Key results with the supplied synthetic cohort (n = 250 visits):</w:t>
      </w:r>
    </w:p>
    <w:p>
      <w:pPr>
        <w:spacing w:after="20"/>
      </w:pPr>
      <w:r>
        <w:t xml:space="preserve">• Visits: 250   • Checkouts: 100 (40.0 %)   • Purchases: 25 (10.0 % overall)</w:t>
      </w:r>
    </w:p>
    <w:p>
      <w:pPr>
        <w:spacing w:after="20"/>
      </w:pPr>
      <w:r>
        <w:t xml:space="preserve">• Checkout → Purchase conversion = 25 %</w:t>
      </w:r>
    </w:p>
    <w:p>
      <w:pPr>
        <w:spacing w:after="20"/>
      </w:pPr>
      <w:r>
        <w:t xml:space="preserve">• Mean time visit → checkout ≈ 37.0 hours (median ≈ 39.2 h)</w:t>
      </w:r>
    </w:p>
    <w:p>
      <w:pPr>
        <w:spacing w:after="60"/>
      </w:pPr>
      <w:r>
        <w:t xml:space="preserve">The largest absolute drop-off is between visit and checkout (150 users / 60 %). Improving the path from product page to cart is therefore higher-leverage than optimising the final payment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Conv. from previous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Visits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Checkouts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40.0 %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Purchases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25.0 %</w:t>
            </w:r>
          </w:p>
        </w:tc>
      </w:tr>
    </w:tbl>
    <w:p>
      <w:pPr>
        <w:spacing w:after="40" w:before="100"/>
      </w:pPr>
      <w:r>
        <w:rPr>
          <w:i/>
          <w:iCs/>
          <w:sz w:val="18"/>
          <w:szCs w:val="18"/>
        </w:rPr>
        <w:t xml:space="preserve">Process flowchart (see also notebooks):</w:t>
      </w:r>
    </w:p>
    <w:p>
      <w:pPr>
        <w:jc w:val="center"/>
      </w:pPr>
      <w:r>
        <w:drawing>
          <wp:inline distT="0" distB="0" distL="0" distR="0">
            <wp:extent cx="4000500" cy="4667250"/>
            <wp:effectExtent t="0" r="0" b="0" l="0"/>
            <wp:docPr id="1" name="flowchart" descr="Funnel process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Takeaways</w:t>
      </w:r>
    </w:p>
    <w:p>
      <w:pPr>
        <w:spacing w:after="20"/>
      </w:pPr>
      <w:r>
        <w:rPr>
          <w:b/>
          <w:bCs/>
        </w:rPr>
        <w:t xml:space="preserve">• Join choice matters: </w:t>
      </w:r>
      <w:r>
        <w:t xml:space="preserve">inner_join for “who did both events”; left_join from the visit base when rates need the full denominator.</w:t>
      </w:r>
    </w:p>
    <w:p>
      <w:pPr>
        <w:spacing w:after="20"/>
      </w:pPr>
      <w:r>
        <w:rPr>
          <w:b/>
          <w:bCs/>
        </w:rPr>
        <w:t xml:space="preserve">• Biggest leak: </w:t>
      </w:r>
      <w:r>
        <w:t xml:space="preserve">visit → checkout (60 % drop).  Product and UX work on the early funnel is the priority.</w:t>
      </w:r>
    </w:p>
    <w:p>
      <w:pPr>
        <w:spacing w:after="20"/>
      </w:pPr>
      <w:r>
        <w:rPr>
          <w:b/>
          <w:bCs/>
        </w:rPr>
        <w:t xml:space="preserve">• Time metric: </w:t>
      </w:r>
      <w:r>
        <w:t xml:space="preserve">average ~1.5 days to reach checkout; useful for SLA / retargeting windows.</w:t>
      </w:r>
    </w:p>
    <w:p>
      <w:pPr>
        <w:spacing w:after="20"/>
      </w:pPr>
      <w:r>
        <w:rPr>
          <w:b/>
          <w:bCs/>
        </w:rPr>
        <w:t xml:space="preserve">• Simulation: </w:t>
      </w:r>
      <w:r>
        <w:t xml:space="preserve">Monte-Carlo with adjustable p_checkout / p_purchase quickly shows how sensitive headline rates are to small lifts.</w:t>
      </w:r>
    </w:p>
    <w:p>
      <w:pPr>
        <w:spacing w:after="20"/>
      </w:pPr>
      <w:r>
        <w:rPr>
          <w:b/>
          <w:bCs/>
        </w:rPr>
        <w:t xml:space="preserve">• Audience: </w:t>
      </w:r>
      <w:r>
        <w:t xml:space="preserve">Analysts receive full code + diagnostics; executives receive the 1-page rates + one recommendation; nonspecialists receive plain-language “out of 100 visitors…” framing.</w:t>
      </w:r>
    </w:p>
    <w:p>
      <w:pPr>
        <w:spacing w:before="60"/>
      </w:pPr>
      <w:r>
        <w:rPr>
          <w:b/>
          <w:bCs/>
          <w:sz w:val="16"/>
          <w:szCs w:val="16"/>
        </w:rPr>
        <w:t xml:space="preserve">Files: </w:t>
      </w:r>
      <w:r>
        <w:rPr>
          <w:color w:val="4a5568"/>
          <w:sz w:val="16"/>
          <w:szCs w:val="16"/>
        </w:rPr>
        <w:t xml:space="preserve">Cool_TShirts_Funnel_Practice_Skeleton.ipynb  •  Cool_TShirts_Funnel_Solution.ipynb  •  data/*.csv  •  flowchart.png  •  Cheatsheet / Strategy Guide / Memo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Extended project (Joining Tables in R / Funnel for Cool T-Shirts)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Cool T-Shirts Website Funnel Analysis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f31184e27b8f9fb24aedef31fad71cd454497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2026-08-21T15:06:16.809Z</dcterms:created>
  <dcterms:modified xsi:type="dcterms:W3CDTF">2026-08-21T15:06:16.809Z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