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Memo: Website Funnel Analysis</w:t>
      </w:r>
    </w:p>
    <w:p>
      <w:r>
        <w:rPr>
          <w:b/>
          <w:bCs/>
        </w:rPr>
        <w:t xml:space="preserve">To: </w:t>
      </w:r>
      <w:r>
        <w:t xml:space="preserve">Growth &amp; Product Leadership, Cool T-Shirts Inc.</w:t>
      </w:r>
    </w:p>
    <w:p>
      <w:r>
        <w:rPr>
          <w:b/>
          <w:bCs/>
        </w:rPr>
        <w:t xml:space="preserve">From: </w:t>
      </w:r>
      <w:r>
        <w:t xml:space="preserve">Analytics Team</w:t>
      </w:r>
    </w:p>
    <w:p>
      <w:r>
        <w:rPr>
          <w:b/>
          <w:bCs/>
        </w:rPr>
        <w:t xml:space="preserve">Re: </w:t>
      </w:r>
      <w:r>
        <w:t xml:space="preserve">Visit → Checkout → Purchase funnel results and recommended focus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August 2026</w:t>
      </w:r>
    </w:p>
    <w:p>
      <w:pPr>
        <w:pStyle w:val="Heading2"/>
      </w:pPr>
      <w:r>
        <w:t xml:space="preserve">1. Executive summary (30-second version)</w:t>
      </w:r>
    </w:p>
    <w:p>
      <w:pPr>
        <w:spacing w:after="80"/>
      </w:pPr>
      <w:r>
        <w:t xml:space="preserve">Out of every 100 visitors to the site, approximately 40 begin checkout and 10 complete a purchase. The largest loss of users occurs between the landing/product page and the checkout page (60 % drop). Average time from first visit to starting checkout is roughly 1.5 days. Improving the early-funnel experience is the highest-leverage action available to us right now.</w:t>
      </w:r>
    </w:p>
    <w:p>
      <w:pPr>
        <w:pStyle w:val="Heading2"/>
      </w:pPr>
      <w:r>
        <w:t xml:space="preserve">2. What we analysed</w:t>
      </w:r>
    </w:p>
    <w:p>
      <w:pPr>
        <w:pStyle w:val="ListParagraph"/>
        <w:numPr>
          <w:ilvl w:val="0"/>
          <w:numId w:val="2"/>
        </w:numPr>
      </w:pPr>
      <w:r>
        <w:t xml:space="preserve">Three related tables: visits (n = 250), checkouts (n = 100), purchases (n = 25).</w:t>
      </w:r>
    </w:p>
    <w:p>
      <w:pPr>
        <w:pStyle w:val="ListParagraph"/>
        <w:numPr>
          <w:ilvl w:val="0"/>
          <w:numId w:val="2"/>
        </w:numPr>
      </w:pPr>
      <w:r>
        <w:t xml:space="preserve">Joined on user_id using dplyr left joins so that conversion rates are calculated against the full visitor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Computed stage-to-stage conversion rates and the distribution of time between visit and checkout.</w:t>
      </w:r>
    </w:p>
    <w:p>
      <w:pPr>
        <w:pStyle w:val="Heading2"/>
      </w:pPr>
      <w:r>
        <w:t xml:space="preserve">3. Results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Visit →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Biggest drop-off 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Checkout → 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Relatively healthy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Overall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 in 10 visitors buy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Mean time to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~37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Retargeting window ~1–2 days</w:t>
            </w:r>
          </w:p>
        </w:tc>
      </w:tr>
    </w:tbl>
    <w:p>
      <w:pPr>
        <w:pStyle w:val="Heading2"/>
        <w:spacing w:before="120"/>
      </w:pPr>
      <w:r>
        <w:t xml:space="preserve">4. Audience-specific messaging (from audience-analysis principles)</w:t>
      </w:r>
    </w:p>
    <w:p>
      <w:pPr>
        <w:spacing w:after="40"/>
      </w:pPr>
      <w:r>
        <w:rPr>
          <w:b/>
          <w:bCs/>
        </w:rPr>
        <w:t xml:space="preserve">Data-literate / analyst colleagues</w:t>
      </w:r>
      <w:r>
        <w:t xml:space="preserve"> (high data literacy, subject experts): full notebook with join diagnostics, full_join orphan checks, monthly breakdowns, Monte-Carlo sensitivity, and alternate base-R merge syntax. They can reproduce and stress-test every number.</w:t>
      </w:r>
    </w:p>
    <w:p>
      <w:pPr>
        <w:spacing w:after="40"/>
      </w:pPr>
      <w:r>
        <w:rPr>
          <w:b/>
          <w:bCs/>
        </w:rPr>
        <w:t xml:space="preserve">Product / growth executives</w:t>
      </w:r>
      <w:r>
        <w:t xml:space="preserve"> (decision makers, lower technical depth): this memo + the 1-page summary. Focus on the 60 % early drop-off and the concrete recommendation to prioritise product-page → cart UX over payment-flow optimisations.</w:t>
      </w:r>
    </w:p>
    <w:p>
      <w:pPr>
        <w:spacing w:after="60"/>
      </w:pPr>
      <w:r>
        <w:rPr>
          <w:b/>
          <w:bCs/>
        </w:rPr>
        <w:t xml:space="preserve">Nonspecialist stakeholders / board</w:t>
      </w:r>
      <w:r>
        <w:t xml:space="preserve"> (minimal statistical background): “Out of 100 people who land on our site, 40 start the checkout process and 10 actually buy a shirt. Most people leave before they even reach the cart. Fixing that early step is our biggest opportunity.”</w:t>
      </w:r>
    </w:p>
    <w:p>
      <w:pPr>
        <w:pStyle w:val="Heading2"/>
      </w:pPr>
      <w:r>
        <w:t xml:space="preserve">5. Recommendation</w:t>
      </w:r>
    </w:p>
    <w:p>
      <w:pPr>
        <w:spacing w:after="60"/>
      </w:pPr>
      <w:r>
        <w:t xml:space="preserve">Prioritise experiments and design work that increase the visit-to-checkout rate (product-page clarity, trust signals, simpler path to cart). A 5–10 percentage-point lift here has a larger absolute impact on purchases than a similar relative lift on the already-higher checkout-to-purchase step. Use the simulation notebook to quantify the expected gain under different lift scenarios before committing engineering resources.</w:t>
      </w:r>
    </w:p>
    <w:p>
      <w:pPr>
        <w:pStyle w:val="Heading2"/>
      </w:pPr>
      <w:r>
        <w:t xml:space="preserve">6. Deliverables attached / in repo</w:t>
      </w:r>
    </w:p>
    <w:p>
      <w:pPr>
        <w:pStyle w:val="ListParagraph"/>
        <w:numPr>
          <w:ilvl w:val="0"/>
          <w:numId w:val="2"/>
        </w:numPr>
      </w:pPr>
      <w:r>
        <w:t xml:space="preserve">Practice Skeleton + full Solution notebooks (R / dplyr)</w:t>
      </w:r>
    </w:p>
    <w:p>
      <w:pPr>
        <w:pStyle w:val="ListParagraph"/>
        <w:numPr>
          <w:ilvl w:val="0"/>
          <w:numId w:val="2"/>
        </w:numPr>
      </w:pPr>
      <w:r>
        <w:t xml:space="preserve">1-Page Summary Report with flowchart</w:t>
      </w:r>
    </w:p>
    <w:p>
      <w:pPr>
        <w:pStyle w:val="ListParagraph"/>
        <w:numPr>
          <w:ilvl w:val="0"/>
          <w:numId w:val="2"/>
        </w:numPr>
      </w:pPr>
      <w:r>
        <w:t xml:space="preserve">Cheatsheet (join verbs + funnel pattern)</w:t>
      </w:r>
    </w:p>
    <w:p>
      <w:pPr>
        <w:pStyle w:val="ListParagraph"/>
        <w:numPr>
          <w:ilvl w:val="0"/>
          <w:numId w:val="2"/>
        </w:numPr>
      </w:pPr>
      <w:r>
        <w:t xml:space="preserve">Strategy Guide for similar multi-table projects</w:t>
      </w:r>
    </w:p>
    <w:p>
      <w:pPr>
        <w:pStyle w:val="ListParagraph"/>
        <w:numPr>
          <w:ilvl w:val="0"/>
          <w:numId w:val="2"/>
        </w:numPr>
      </w:pPr>
      <w:r>
        <w:t xml:space="preserve">Synthetic data (data/visits.csv, checkouts.csv, purchases.csv) and process flowchart PNG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Audience-adapted project memo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4"/>
        <w:szCs w:val="14"/>
      </w:rPr>
      <w:t xml:space="preserve">INTERNAL MEMO — Cool T-Shirts Growth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2026-08-21T15:08:19.541Z</dcterms:created>
  <dcterms:modified xsi:type="dcterms:W3CDTF">2026-08-21T15:08:19.541Z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