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Strategy Guide: Coding Similar Funnel / Multi-Table Projects</w:t>
      </w:r>
    </w:p>
    <w:p>
      <w:pPr>
        <w:spacing w:after="80"/>
      </w:pPr>
      <w:r>
        <w:t xml:space="preserve">Reusable mental model and checklist for any analysis that starts with several related event tables (visits, sign-ups, purchases, support tickets, clinical encounters, loan applications, etc.).</w:t>
      </w:r>
    </w:p>
    <w:p>
      <w:pPr>
        <w:pStyle w:val="Heading2"/>
      </w:pPr>
      <w:r>
        <w:t xml:space="preserve">When this pattern applies</w:t>
      </w:r>
    </w:p>
    <w:p>
      <w:pPr>
        <w:pStyle w:val="ListParagraph"/>
        <w:numPr>
          <w:ilvl w:val="0"/>
          <w:numId w:val="2"/>
        </w:numPr>
      </w:pPr>
      <w:r>
        <w:t xml:space="preserve">You have 2+ tables that describe sequential or parallel events for the same entities (users, customers, patients, accounts).</w:t>
      </w:r>
    </w:p>
    <w:p>
      <w:pPr>
        <w:pStyle w:val="ListParagraph"/>
        <w:numPr>
          <w:ilvl w:val="0"/>
          <w:numId w:val="2"/>
        </w:numPr>
      </w:pPr>
      <w:r>
        <w:t xml:space="preserve">You need stage counts, conversion / transition rates, and/or time-between-events.</w:t>
      </w:r>
    </w:p>
    <w:p>
      <w:pPr>
        <w:pStyle w:val="ListParagraph"/>
        <w:numPr>
          <w:ilvl w:val="0"/>
          <w:numId w:val="2"/>
        </w:numPr>
      </w:pPr>
      <w:r>
        <w:t xml:space="preserve">Tables share a natural key (user_id, account_id, session_id, …) but may have different grain or missingness.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Stakeholders range from technical (need exact logic) to executive (need headline rates + one action).</w:t>
      </w:r>
    </w:p>
    <w:p>
      <w:pPr>
        <w:pStyle w:val="Heading2"/>
      </w:pPr>
      <w:r>
        <w:t xml:space="preserve">Recommended workflow (8 steps)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Inventory the tables</w:t>
      </w:r>
      <w:r>
        <w:t xml:space="preserve"> — list columns, grain, expected cardinality of the key, and which timestamps exist.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Decide the analysis grain</w:t>
      </w:r>
      <w:r>
        <w:t xml:space="preserve"> — almost always the earliest event (e.g. visit). Everything else is left-joined onto it so denominators stay correct.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Choose join type deliberately</w:t>
      </w:r>
      <w:r>
        <w:t xml:space="preserve"> — left_join for rates; inner_join only when you truly want the intersection; full_join for data-quality diagnostics.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explicit flags</w:t>
      </w:r>
      <w:r>
        <w:t xml:space="preserve"> — reached_stage2 = !is.na(time2). Avoid relying on row presence alone when later filtering.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Compute rates from the flags</w:t>
      </w:r>
      <w:r>
        <w:t xml:space="preserve"> — never from nrow of an inner-joined table if you need visit-based conversion.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time metrics</w:t>
      </w:r>
      <w:r>
        <w:t xml:space="preserve"> — difftime or lubridate; always document the unit (hours / days).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Visualise both counts and distributions</w:t>
      </w:r>
      <w:r>
        <w:t xml:space="preserve"> — funnel bars + histogram/ECDF of times.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Stress-test with simulation or sensitivity</w:t>
      </w:r>
      <w:r>
        <w:t xml:space="preserve"> — vary conversion probabilities or missingness; show stakeholders the range of plausible outcomes.</w:t>
      </w:r>
    </w:p>
    <w:p>
      <w:pPr>
        <w:pStyle w:val="Heading2"/>
      </w:pPr>
      <w:r>
        <w:t xml:space="preserve">Common pitfalls &amp; how to avoid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Inner-joining everything</w:t>
      </w:r>
      <w:r>
        <w:t xml:space="preserve"> → understates the starting population and inflates conversion. Fix: start from the earliest table with left joins.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Joining on columns that mean different things</w:t>
      </w:r>
      <w:r>
        <w:t xml:space="preserve"> (both called “id”). Fix: rename or use by = c("left_id" = "right_id").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Forgetting timezone / POSIXct vs Date</w:t>
      </w:r>
      <w:r>
        <w:t xml:space="preserve"> → nonsense time differences. Fix: inspect with glimpse() and force a consistent tz if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 only overall conversion</w:t>
      </w:r>
      <w:r>
        <w:t xml:space="preserve"> → hides where the drop-off is. Always show stage-to-stage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message for every audience</w:t>
      </w:r>
      <w:r>
        <w:t xml:space="preserve"> → executives drown in code; analysts distrust simplified slides. Maintain two layers (notebook + 1-pager).</w:t>
      </w:r>
    </w:p>
    <w:p>
      <w:pPr>
        <w:pStyle w:val="Heading2"/>
      </w:pPr>
      <w:r>
        <w:t xml:space="preserve">Reusable notebook skeleton (what to keep)</w:t>
      </w:r>
    </w:p>
    <w:p>
      <w:pPr>
        <w:pStyle w:val="ListParagraph"/>
        <w:numPr>
          <w:ilvl w:val="0"/>
          <w:numId w:val="4"/>
        </w:numPr>
      </w:pPr>
      <w:r>
        <w:t xml:space="preserve">Setup cell with library calls + set.seed</w:t>
      </w:r>
    </w:p>
    <w:p>
      <w:pPr>
        <w:pStyle w:val="ListParagraph"/>
        <w:numPr>
          <w:ilvl w:val="0"/>
          <w:numId w:val="4"/>
        </w:numPr>
      </w:pPr>
      <w:r>
        <w:t xml:space="preserve">Load &amp; inspect (always show nrow + n_distinct(key))</w:t>
      </w:r>
    </w:p>
    <w:p>
      <w:pPr>
        <w:pStyle w:val="ListParagraph"/>
        <w:numPr>
          <w:ilvl w:val="0"/>
          <w:numId w:val="4"/>
        </w:numPr>
      </w:pPr>
      <w:r>
        <w:t xml:space="preserve">Core left-join funnel builder + flags</w:t>
      </w:r>
    </w:p>
    <w:p>
      <w:pPr>
        <w:pStyle w:val="ListParagraph"/>
        <w:numPr>
          <w:ilvl w:val="0"/>
          <w:numId w:val="4"/>
        </w:numPr>
      </w:pPr>
      <w:r>
        <w:t xml:space="preserve">Metrics table + three conversion rates</w:t>
      </w:r>
    </w:p>
    <w:p>
      <w:pPr>
        <w:pStyle w:val="ListParagraph"/>
        <w:numPr>
          <w:ilvl w:val="0"/>
          <w:numId w:val="4"/>
        </w:numPr>
      </w:pPr>
      <w:r>
        <w:t xml:space="preserve">Two plots: absolute funnel + time distribution</w:t>
      </w:r>
    </w:p>
    <w:p>
      <w:pPr>
        <w:pStyle w:val="ListParagraph"/>
        <w:numPr>
          <w:ilvl w:val="0"/>
          <w:numId w:val="4"/>
        </w:numPr>
      </w:pPr>
      <w:r>
        <w:t xml:space="preserve">Alternate syntax cell (base::merge or full_join diagnostics)</w:t>
      </w:r>
    </w:p>
    <w:p>
      <w:pPr>
        <w:pStyle w:val="ListParagraph"/>
        <w:numPr>
          <w:ilvl w:val="0"/>
          <w:numId w:val="4"/>
        </w:numPr>
      </w:pPr>
      <w:r>
        <w:t xml:space="preserve">More-practice section (group_by time, bind_rows, fast/slow cohorts)</w:t>
      </w:r>
    </w:p>
    <w:p>
      <w:pPr>
        <w:pStyle w:val="ListParagraph"/>
        <w:numPr>
          <w:ilvl w:val="0"/>
          <w:numId w:val="4"/>
        </w:numPr>
      </w:pPr>
      <w:r>
        <w:t xml:space="preserve">Parameterised simulation cell at the bottom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Short audience-reflection markdown</w:t>
      </w:r>
    </w:p>
    <w:p>
      <w:pPr>
        <w:pStyle w:val="Heading2"/>
      </w:pPr>
      <w:r>
        <w:t xml:space="preserve">How to adapt for a new domain (examples)</w:t>
      </w:r>
    </w:p>
    <w:p>
      <w:r>
        <w:rPr>
          <w:b/>
          <w:bCs/>
        </w:rPr>
        <w:t xml:space="preserve">SaaS trial → paid: </w:t>
      </w:r>
      <w:r>
        <w:t xml:space="preserve">signups, activated, converted_to_paid.  Same left-join pattern.</w:t>
      </w:r>
    </w:p>
    <w:p>
      <w:r>
        <w:rPr>
          <w:b/>
          <w:bCs/>
        </w:rPr>
        <w:t xml:space="preserve">Lending: </w:t>
      </w:r>
      <w:r>
        <w:t xml:space="preserve">applications, underwritten, funded.  Watch for policy-driven “anti-joins” (declined).</w:t>
      </w:r>
    </w:p>
    <w:p>
      <w:r>
        <w:rPr>
          <w:b/>
          <w:bCs/>
        </w:rPr>
        <w:t xml:space="preserve">Healthcare: </w:t>
      </w:r>
      <w:r>
        <w:t xml:space="preserve">referrals, appointments kept, procedures completed.  Time metrics often more important than pure rates.</w:t>
      </w:r>
    </w:p>
    <w:p>
      <w:r>
        <w:rPr>
          <w:b/>
          <w:bCs/>
        </w:rPr>
        <w:t xml:space="preserve">Marketing campaigns: </w:t>
      </w:r>
      <w:r>
        <w:t xml:space="preserve">impressions / clicks / leads / opportunities.  May need multi-key or sequential joins.</w:t>
      </w:r>
    </w:p>
    <w:p>
      <w:pPr>
        <w:spacing w:before="80"/>
      </w:pPr>
      <w:r>
        <w:rPr>
          <w:i/>
          <w:iCs/>
        </w:rPr>
        <w:t xml:space="preserve">Keep the flowchart, the left-join-from-earliest-event rule, and the dual audience outputs — they transfer almost unchanged.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Cool T-Shirts Funnel Extended Project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4"/>
        <w:szCs w:val="14"/>
      </w:rPr>
      <w:t xml:space="preserve">Strategy Guide — Multi-table Funnel / Event Analysis in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2026-08-21T15:07:44.569Z</dcterms:created>
  <dcterms:modified xsi:type="dcterms:W3CDTF">2026-08-21T15:07:44.569Z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