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TO: </w:t>
      </w:r>
      <w:r>
        <w:t xml:space="preserve">Analytics Team / Learning &amp; Development / Executive Sponsors</w:t>
      </w:r>
    </w:p>
    <w:p>
      <w:r>
        <w:rPr>
          <w:b/>
          <w:bCs/>
        </w:rPr>
        <w:t xml:space="preserve">FROM: </w:t>
      </w:r>
      <w:r>
        <w:t xml:space="preserve">Data Science Practice Lead</w:t>
      </w:r>
    </w:p>
    <w:p>
      <w:r>
        <w:rPr>
          <w:b/>
          <w:bCs/>
        </w:rPr>
        <w:t xml:space="preserve">DATE: </w:t>
      </w:r>
      <w:r>
        <w:t xml:space="preserve">August 2026</w:t>
      </w:r>
    </w:p>
    <w:p>
      <w:pPr>
        <w:spacing w:after="120"/>
      </w:pPr>
      <w:r>
        <w:rPr>
          <w:b/>
          <w:bCs/>
        </w:rPr>
        <w:t xml:space="preserve">RE: </w:t>
      </w:r>
      <w:r>
        <w:t xml:space="preserve">Extended learning project — Linear Regression using R’s built-in datasets (cars, state.x77, …)</w:t>
      </w:r>
    </w:p>
    <w:p>
      <w:pPr>
        <w:pStyle w:val="Heading1"/>
      </w:pPr>
      <w:r>
        <w:t xml:space="preserve">Purpose</w:t>
      </w:r>
    </w:p>
    <w:p>
      <w:pPr>
        <w:spacing w:after="80"/>
      </w:pPr>
      <w:r>
        <w:t xml:space="preserve">This memo accompanies the practice skeleton, solution notebook, cheatsheet and 1-page summary. It translates the technical results into three audience-ready narratives, following the principles in the attached “What to Consider When Considering the Audience” and “Audience and Situation Analysis” guides (data-literacy level, subject knowledge, experts / technicians / executives / nonspecialists).</w:t>
      </w:r>
    </w:p>
    <w:p>
      <w:pPr>
        <w:pStyle w:val="Heading1"/>
      </w:pPr>
      <w:r>
        <w:t xml:space="preserve">1. For the Data Analyst / Technician (high data literacy)</w:t>
      </w:r>
    </w:p>
    <w:p>
      <w:pPr>
        <w:spacing w:after="60"/>
      </w:pPr>
      <w:r>
        <w:t xml:space="preserve">Lead with the model diagnostics. On the 60 % training split of cars, lm(dist ~ speed) returns RSE ≈ 15.4 ft, R² ≈ 0.71, slope p &lt; 0.001. Residual-versus-fitted and the LOESS overlay show no gross non-linearity. For state.x77 the single-predictor Illiteracy model is weak (R² ≈ 0.20); the multiple model Income ~ `HS Grad` + Population lifts R² and renders Illiteracy non-significant—classic confounding. Use broom::tidy / glance for reproducible tables and the Monte-Carlo block to report the sampling distribution of R² under realistic residual noise. Supply the full residual plots and coefficient tables in an appendix.</w:t>
      </w:r>
    </w:p>
    <w:p>
      <w:pPr>
        <w:pStyle w:val="Heading1"/>
      </w:pPr>
      <w:r>
        <w:t xml:space="preserve">2. For the Executive / Decision Maker (low technical depth, high decision urgency)</w:t>
      </w:r>
    </w:p>
    <w:p>
      <w:pPr>
        <w:spacing w:after="60"/>
      </w:pPr>
      <w:r>
        <w:t xml:space="preserve">One-sentence insight first: “Stopping distance rises roughly four feet for every extra mile-per-hour of speed; speed alone accounts for most of the observed variation.” Then give the practical number (RSE ≈ 15 ft) and a confidence statement (“we are highly confident the relationship is real”). Avoid p-value stars and residual plots in the main body; place them in a technical appendix. For the state income example: “Once high-school graduation rates are taken into account, illiteracy no longer appears to drive average income—education is the stronger lever.” End with a clear recommendation or next measurement step.</w:t>
      </w:r>
    </w:p>
    <w:p>
      <w:pPr>
        <w:pStyle w:val="Heading1"/>
      </w:pPr>
      <w:r>
        <w:t xml:space="preserve">3. For the Non-specialist Learner / Student</w:t>
      </w:r>
    </w:p>
    <w:p>
      <w:pPr>
        <w:spacing w:after="60"/>
      </w:pPr>
      <w:r>
        <w:t xml:space="preserve">Start with the visual: show the scatter of speed versus stopping distance and the straight line that summarises it. Explain R² in everyday language (“about 70 % of the differences in stopping distance can be linked to how fast the cars were going”). Introduce residual = “how far each car’s actual stopping distance sits from the line.” Only after the intuition is solid introduce the R code and the formal terms. The Monte-Carlo section can be framed as “what happens if we repeat the same experiment many times with a little random noise?”</w:t>
      </w:r>
    </w:p>
    <w:p>
      <w:pPr>
        <w:pStyle w:val="Heading1"/>
      </w:pPr>
      <w:r>
        <w:t xml:space="preserve">Recommended Delivery Sequence</w:t>
      </w:r>
    </w:p>
    <w:p>
      <w:pPr>
        <w:pStyle w:val="ListParagraph"/>
        <w:numPr>
          <w:ilvl w:val="0"/>
          <w:numId w:val="2"/>
        </w:numPr>
      </w:pPr>
      <w:r>
        <w:t xml:space="preserve">Open the Practice Skeleton notebook and work through each markdown instruction, referring to the Cheatsheet for syntax.</w:t>
      </w:r>
    </w:p>
    <w:p>
      <w:pPr>
        <w:pStyle w:val="ListParagraph"/>
        <w:numPr>
          <w:ilvl w:val="0"/>
          <w:numId w:val="2"/>
        </w:numPr>
      </w:pPr>
      <w:r>
        <w:t xml:space="preserve">Compare answers with the Solution notebook; note the alternate code paths.</w:t>
      </w:r>
    </w:p>
    <w:p>
      <w:pPr>
        <w:pStyle w:val="ListParagraph"/>
        <w:numPr>
          <w:ilvl w:val="0"/>
          <w:numId w:val="2"/>
        </w:numPr>
      </w:pPr>
      <w:r>
        <w:t xml:space="preserve">Run the Simulation section, changing n, noise σ and seed; observe how R² and slope distributions shift.</w:t>
      </w:r>
    </w:p>
    <w:p>
      <w:pPr>
        <w:pStyle w:val="ListParagraph"/>
        <w:numPr>
          <w:ilvl w:val="0"/>
          <w:numId w:val="2"/>
        </w:numPr>
      </w:pPr>
      <w:r>
        <w:t xml:space="preserve">Write a short audience-adapted paragraph (choose one of the three voices above) and place it at the end of your notebook.</w:t>
      </w:r>
    </w:p>
    <w:p>
      <w:pPr>
        <w:pStyle w:val="ListParagraph"/>
        <w:numPr>
          <w:ilvl w:val="0"/>
          <w:numId w:val="2"/>
        </w:numPr>
      </w:pPr>
      <w:r>
        <w:t xml:space="preserve">For formal reporting, follow the data-analysis report structure (Introduction → Body organised by question → Conclusion → Appendix) summarised in the attached paper-structure guide.</w:t>
      </w:r>
    </w:p>
    <w:p>
      <w:pPr>
        <w:pStyle w:val="Heading1"/>
      </w:pPr>
      <w:r>
        <w:t xml:space="preserve">Key Risks &amp; Mitigations</w:t>
      </w:r>
    </w:p>
    <w:p>
      <w:pPr>
        <w:pStyle w:val="ListParagraph"/>
        <w:numPr>
          <w:ilvl w:val="0"/>
          <w:numId w:val="2"/>
        </w:numPr>
      </w:pPr>
      <w:r>
        <w:t xml:space="preserve">Over-claiming causality: the cars and state relationships are observational; language must stay correlational.</w:t>
      </w:r>
    </w:p>
    <w:p>
      <w:pPr>
        <w:pStyle w:val="ListParagraph"/>
        <w:numPr>
          <w:ilvl w:val="0"/>
          <w:numId w:val="2"/>
        </w:numPr>
      </w:pPr>
      <w:r>
        <w:t xml:space="preserve">Ignoring non-linearity: pressure is a built-in counter-example—always plot first.</w:t>
      </w:r>
    </w:p>
    <w:p>
      <w:pPr>
        <w:pStyle w:val="ListParagraph"/>
        <w:numPr>
          <w:ilvl w:val="0"/>
          <w:numId w:val="2"/>
        </w:numPr>
      </w:pPr>
      <w:r>
        <w:t xml:space="preserve">Audience mismatch: a residual Q-Q plot confuses executives; a single R² number without units confuses learners.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Audience-adapted communication  |  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INTERNAL MEMO  |  Linear Regression with R Built-in Datasets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2026-08-22T14:56:48.082Z</dcterms:created>
  <dcterms:modified xsi:type="dcterms:W3CDTF">2026-08-22T14:56:48.082Z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