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28"/>
          <w:szCs w:val="28"/>
        </w:rPr>
        <w:t xml:space="preserve">When to Use Intermediate ggplot2 Visualizations &amp; Best Practices</w:t>
      </w:r>
    </w:p>
    <w:p>
      <w:pPr>
        <w:spacing w:after="60" w:before="80"/>
      </w:pPr>
      <w:r>
        <w:rPr>
          <w:b/>
          <w:bCs/>
          <w:color w:val="1a5276"/>
          <w:sz w:val="22"/>
          <w:szCs w:val="22"/>
        </w:rPr>
        <w:t xml:space="preserve">1. When this type of analysis is appropriate</w:t>
      </w:r>
    </w:p>
    <w:p>
      <w:pPr>
        <w:spacing w:after="60"/>
      </w:pPr>
      <w:r>
        <w:rPr>
          <w:sz w:val="19"/>
          <w:szCs w:val="19"/>
        </w:rPr>
        <w:t xml:space="preserve">Use the combination of histograms, box plots, stacked/filled bars, facets and error bars when you need to answer questions about:</w:t>
      </w:r>
    </w:p>
    <w:p>
      <w:pPr>
        <w:spacing w:after="40"/>
      </w:pPr>
      <w:r>
        <w:rPr>
          <w:sz w:val="19"/>
          <w:szCs w:val="19"/>
        </w:rPr>
        <w:t xml:space="preserve">• Composition — “What share of institutions in each region are classic museums versus nature centres?” (filled bars)</w:t>
      </w:r>
    </w:p>
    <w:p>
      <w:pPr>
        <w:spacing w:after="40"/>
      </w:pPr>
      <w:r>
        <w:rPr>
          <w:sz w:val="19"/>
          <w:szCs w:val="19"/>
        </w:rPr>
        <w:t xml:space="preserve">• Distribution shape — “How are revenues of small institutions distributed?” (histogram)</w:t>
      </w:r>
    </w:p>
    <w:p>
      <w:pPr>
        <w:spacing w:after="40"/>
      </w:pPr>
      <w:r>
        <w:rPr>
          <w:sz w:val="19"/>
          <w:szCs w:val="19"/>
        </w:rPr>
        <w:t xml:space="preserve">• Group comparison of spread — “How do the medians and inter-quartile ranges of large-institution revenue differ by region?” (boxplot)</w:t>
      </w:r>
    </w:p>
    <w:p>
      <w:pPr>
        <w:spacing w:after="40"/>
      </w:pPr>
      <w:r>
        <w:rPr>
          <w:sz w:val="19"/>
          <w:szCs w:val="19"/>
        </w:rPr>
        <w:t xml:space="preserve">• Precision of averages — “Is the higher mean revenue in New England reliable or just noise?” (mean + SE error bars)</w:t>
      </w:r>
    </w:p>
    <w:p>
      <w:pPr>
        <w:spacing w:after="60"/>
      </w:pPr>
      <w:r>
        <w:rPr>
          <w:sz w:val="19"/>
          <w:szCs w:val="19"/>
        </w:rPr>
        <w:t xml:space="preserve">• Sub-group consistency — “Does the Museum / Non-Museum mix look the same in Illinois, California and New York?” (facets)</w:t>
      </w:r>
    </w:p>
    <w:p>
      <w:pPr>
        <w:spacing w:after="60" w:before="80"/>
      </w:pPr>
      <w:r>
        <w:rPr>
          <w:b/>
          <w:bCs/>
          <w:color w:val="1a5276"/>
          <w:sz w:val="22"/>
          <w:szCs w:val="22"/>
        </w:rPr>
        <w:t xml:space="preserve">2. When another approach is better</w:t>
      </w:r>
    </w:p>
    <w:p>
      <w:pPr>
        <w:spacing w:after="40"/>
      </w:pPr>
      <w:r>
        <w:rPr>
          <w:sz w:val="19"/>
          <w:szCs w:val="19"/>
        </w:rPr>
        <w:t xml:space="preserve">• Pure ranking of a few categories → simple ordered bar or lollipop (no need for fill or facets).</w:t>
      </w:r>
    </w:p>
    <w:p>
      <w:pPr>
        <w:spacing w:after="40"/>
      </w:pPr>
      <w:r>
        <w:rPr>
          <w:sz w:val="19"/>
          <w:szCs w:val="19"/>
        </w:rPr>
        <w:t xml:space="preserve">• Time-series trend → line or area (see the Carbon Dioxide Levels project).</w:t>
      </w:r>
    </w:p>
    <w:p>
      <w:pPr>
        <w:spacing w:after="40"/>
      </w:pPr>
      <w:r>
        <w:rPr>
          <w:sz w:val="19"/>
          <w:szCs w:val="19"/>
        </w:rPr>
        <w:t xml:space="preserve">• Spatial patterns at fine resolution → interactive map rather than a static heatmap of centroids.</w:t>
      </w:r>
    </w:p>
    <w:p>
      <w:pPr>
        <w:spacing w:after="60"/>
      </w:pPr>
      <w:r>
        <w:rPr>
          <w:sz w:val="19"/>
          <w:szCs w:val="19"/>
        </w:rPr>
        <w:t xml:space="preserve">• Causal claims → these visuals describe association; they do not replace a proper design or model.</w:t>
      </w:r>
    </w:p>
    <w:p>
      <w:pPr>
        <w:spacing w:after="60" w:before="80"/>
      </w:pPr>
      <w:r>
        <w:rPr>
          <w:b/>
          <w:bCs/>
          <w:color w:val="1a5276"/>
          <w:sz w:val="22"/>
          <w:szCs w:val="22"/>
        </w:rPr>
        <w:t xml:space="preserve">3. Best-practice checklist (tied to the audience PDFs)</w:t>
      </w:r>
    </w:p>
    <w:p>
      <w:pPr>
        <w:spacing w:after="40"/>
      </w:pPr>
      <w:r>
        <w:rPr>
          <w:sz w:val="19"/>
          <w:szCs w:val="19"/>
        </w:rPr>
        <w:t xml:space="preserve">Data literacy  —  Highly literate audiences can read box plots and confidence intervals; less literate audiences need bars, plain language and a single headline insight.  (What to Consider When Considering the Audience, §1)</w:t>
      </w:r>
    </w:p>
    <w:p>
      <w:pPr>
        <w:spacing w:after="40"/>
      </w:pPr>
      <w:r>
        <w:rPr>
          <w:sz w:val="19"/>
          <w:szCs w:val="19"/>
        </w:rPr>
        <w:t xml:space="preserve">Subject knowledge  —  Finance or museum professionals may already know regional acronyms and EBITDA-style conventions; the general public will not.  Expand abbreviations and highlight whether an upward movement is “good” or “bad”.  (§2)</w:t>
      </w:r>
    </w:p>
    <w:p>
      <w:pPr>
        <w:spacing w:after="40"/>
      </w:pPr>
      <w:r>
        <w:rPr>
          <w:sz w:val="19"/>
          <w:szCs w:val="19"/>
        </w:rPr>
        <w:t xml:space="preserve">Mixed audiences  —  Write each major section so a technical reader can dive deeper while an executive can skim titles and the first paragraph.  Use clear headings and optional appendices (paper-structure.pdf).</w:t>
      </w:r>
    </w:p>
    <w:p>
      <w:pPr>
        <w:spacing w:after="40"/>
      </w:pPr>
      <w:r>
        <w:rPr>
          <w:sz w:val="19"/>
          <w:szCs w:val="19"/>
        </w:rPr>
        <w:t xml:space="preserve">Colour &amp; accessibility  —  Prefer colour-blind-safe palettes; never rely on colour alone for meaning.  The custom blue/red palette used in the solution is a safe starting point.</w:t>
      </w:r>
    </w:p>
    <w:p>
      <w:pPr>
        <w:spacing w:after="60"/>
      </w:pPr>
      <w:r>
        <w:rPr>
          <w:sz w:val="19"/>
          <w:szCs w:val="19"/>
        </w:rPr>
        <w:t xml:space="preserve">Number formats  —  Use $M / $B for executives, full dollar_format for analysts, and always state the year and source of the data.</w:t>
      </w:r>
    </w:p>
    <w:p>
      <w:pPr>
        <w:spacing w:after="60" w:before="80"/>
      </w:pPr>
      <w:r>
        <w:rPr>
          <w:b/>
          <w:bCs/>
          <w:color w:val="1a5276"/>
          <w:sz w:val="22"/>
          <w:szCs w:val="22"/>
        </w:rPr>
        <w:t xml:space="preserve">4. Recommended workflow for similar projects</w:t>
      </w:r>
    </w:p>
    <w:p>
      <w:pPr>
        <w:spacing w:after="40"/>
      </w:pPr>
      <w:r>
        <w:rPr>
          <w:sz w:val="19"/>
          <w:szCs w:val="19"/>
        </w:rPr>
        <w:t xml:space="preserve">1. Load → inspect → decide the analysis unit (here: Legal.Name for revenue).</w:t>
      </w:r>
    </w:p>
    <w:p>
      <w:pPr>
        <w:spacing w:after="40"/>
      </w:pPr>
      <w:r>
        <w:rPr>
          <w:sz w:val="19"/>
          <w:szCs w:val="19"/>
        </w:rPr>
        <w:t xml:space="preserve">2. Answer the composition question first (filled bars) — it is usually the easiest win.</w:t>
      </w:r>
    </w:p>
    <w:p>
      <w:pPr>
        <w:spacing w:after="40"/>
      </w:pPr>
      <w:r>
        <w:rPr>
          <w:sz w:val="19"/>
          <w:szCs w:val="19"/>
        </w:rPr>
        <w:t xml:space="preserve">3. Look at the bulk of the distribution (histogram) and the extremes (boxplot / coord_cartesian).</w:t>
      </w:r>
    </w:p>
    <w:p>
      <w:pPr>
        <w:spacing w:after="40"/>
      </w:pPr>
      <w:r>
        <w:rPr>
          <w:sz w:val="19"/>
          <w:szCs w:val="19"/>
        </w:rPr>
        <w:t xml:space="preserve">4. Summarise with means + SE; never show a mean without some measure of uncertainty when sample sizes differ.</w:t>
      </w:r>
    </w:p>
    <w:p>
      <w:pPr>
        <w:spacing w:after="40"/>
      </w:pPr>
      <w:r>
        <w:rPr>
          <w:sz w:val="19"/>
          <w:szCs w:val="19"/>
        </w:rPr>
        <w:t xml:space="preserve">5. Polish labels, scales and theme once; then create audience-specific variants by changing only the title, subtitle and number format.</w:t>
      </w:r>
    </w:p>
    <w:p>
      <w:pPr>
        <w:spacing w:after="60"/>
      </w:pPr>
      <w:r>
        <w:rPr>
          <w:sz w:val="19"/>
          <w:szCs w:val="19"/>
        </w:rPr>
        <w:t xml:space="preserve">6. Run a short sensitivity / simulation section so stakeholders can see which findings survive changes in thresholds or sample size.</w:t>
      </w:r>
    </w:p>
    <w:p>
      <w:pPr>
        <w:spacing w:after="60" w:before="80"/>
      </w:pPr>
      <w:r>
        <w:rPr>
          <w:b/>
          <w:bCs/>
          <w:color w:val="1a5276"/>
          <w:sz w:val="22"/>
          <w:szCs w:val="22"/>
        </w:rPr>
        <w:t xml:space="preserve">5. Files produced by this extended project</w:t>
      </w:r>
    </w:p>
    <w:p>
      <w:pPr>
        <w:spacing w:after="30"/>
      </w:pPr>
      <w:r>
        <w:rPr>
          <w:sz w:val="19"/>
          <w:szCs w:val="19"/>
        </w:rPr>
        <w:t xml:space="preserve">Practice Skeleton + Solution notebooks, 1-page Summary Report, Cheatsheet, this Strategy Guide, flowchart, reusable Intermediate ggplot2 template, and the Extended Project zip.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Strategy Guide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Strategy Guide — Intermediate ggplot2 / Museums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2026-08-22T12:53:31.211Z</dcterms:created>
  <dcterms:modified xsi:type="dcterms:W3CDTF">2026-08-22T12:53:31.211Z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