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28"/>
          <w:szCs w:val="28"/>
        </w:rPr>
        <w:t xml:space="preserve">Predicting Income with Social Data</w:t>
      </w:r>
    </w:p>
    <w:p>
      <w:pPr>
        <w:spacing w:after="80"/>
      </w:pPr>
      <w:r>
        <w:rPr>
          <w:color w:val="444444"/>
          <w:sz w:val="17"/>
          <w:szCs w:val="17"/>
        </w:rPr>
        <w:t xml:space="preserve">Linear Regression Extension (PSID 2017) — Practice + Solution Project</w:t>
      </w:r>
    </w:p>
    <w:p>
      <w:pPr>
        <w:spacing w:after="30" w:before="40"/>
      </w:pPr>
      <w:r>
        <w:rPr>
          <w:b/>
          <w:bCs/>
          <w:color w:val="1F4E79"/>
          <w:sz w:val="21"/>
          <w:szCs w:val="21"/>
        </w:rPr>
        <w:t xml:space="preserve">Problem Statement</w:t>
      </w:r>
    </w:p>
    <w:p>
      <w:pPr>
        <w:spacing w:after="70"/>
      </w:pPr>
      <w:r>
        <w:rPr>
          <w:sz w:val="17"/>
          <w:szCs w:val="17"/>
        </w:rPr>
        <w:t xml:space="preserve">The Panel Study of Income Dynamics (PSID) contains rich social and demographic variables. A social-policy research team needs a transparent, interpretable model that quantifies how education, age and gender relate to labor income and produces narratives adaptable for technical supervisors, executives and non-specialist audiences. Zero-inflation, coded missings (99/999) and mixed audience literacy make both the statistical workflow and communication design non-trivial.</w:t>
      </w:r>
    </w:p>
    <w:p>
      <w:pPr>
        <w:spacing w:after="30" w:before="20"/>
      </w:pPr>
      <w:r>
        <w:rPr>
          <w:b/>
          <w:bCs/>
          <w:color w:val="1F4E79"/>
          <w:sz w:val="21"/>
          <w:szCs w:val="21"/>
        </w:rPr>
        <w:t xml:space="preserve">Solution Strategy</w:t>
      </w:r>
    </w:p>
    <w:p>
      <w:pPr>
        <w:spacing w:after="70"/>
      </w:pPr>
      <w:r>
        <w:rPr>
          <w:sz w:val="17"/>
          <w:szCs w:val="17"/>
        </w:rPr>
        <w:t xml:space="preserve">1. Inspect structure &amp; distributions. 2. Filter to working age (18–75), plausible education (5–25 yrs) and positive labor income. 3. 60/40 train-test split. 4. Fit simple LM then multiple LM (+ age + gender). 5. Assess fit (R², residuals, LOESS). 6. Interpret coefficients ceteris paribus and prepare audience-adapted messaging. 7. Monte-Carlo sensitivity simulation.</w:t>
      </w:r>
    </w:p>
    <w:p>
      <w:pPr>
        <w:spacing w:after="30" w:before="20"/>
      </w:pPr>
      <w:r>
        <w:rPr>
          <w:b/>
          <w:bCs/>
          <w:color w:val="1F4E79"/>
          <w:sz w:val="21"/>
          <w:szCs w:val="21"/>
        </w:rPr>
        <w:t xml:space="preserve">Solution</w:t>
      </w:r>
    </w:p>
    <w:p>
      <w:pPr>
        <w:spacing w:after="40"/>
      </w:pPr>
      <w:r>
        <w:rPr>
          <w:sz w:val="17"/>
          <w:szCs w:val="17"/>
        </w:rPr>
        <w:t xml:space="preserve">After cleaning, ~1 600 earners remain. Simple-model R² ≈ 0.03; multiple-model R² ≈ 0.13. Education coefficient (multiple) ≈ +$1 400 per additional year of schooling (holding age &amp; gender fixed). Age strongly positive; female earners show a negative differential. Large residual variance remains (occupation, hours, region omitted).</w:t>
      </w:r>
    </w:p>
    <w:p>
      <w:pPr>
        <w:spacing w:after="20" w:before="40"/>
        <w:jc w:val="center"/>
      </w:pPr>
      <w:r>
        <w:drawing>
          <wp:inline distT="0" distB="0" distL="0" distR="0">
            <wp:extent cx="3810000" cy="2476500"/>
            <wp:effectExtent t="0" r="0" b="0" l="0"/>
            <wp:docPr id="1" name="scatter" descr="Income vs education" title="sca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/>
        <w:jc w:val="center"/>
      </w:pPr>
      <w:r>
        <w:rPr>
          <w:i/>
          <w:iCs/>
          <w:color w:val="555555"/>
          <w:sz w:val="14"/>
          <w:szCs w:val="14"/>
        </w:rPr>
        <w:t xml:space="preserve">Figure: Labor income vs education years — OLS (red) &amp; LOESS (green dashed)</w:t>
      </w:r>
    </w:p>
    <w:p>
      <w:pPr>
        <w:spacing w:after="30" w:before="20"/>
      </w:pPr>
      <w:r>
        <w:rPr>
          <w:b/>
          <w:bCs/>
          <w:color w:val="1F4E79"/>
          <w:sz w:val="21"/>
          <w:szCs w:val="21"/>
        </w:rPr>
        <w:t xml:space="preserve">Key Takeaways</w:t>
      </w:r>
    </w:p>
    <w:p>
      <w:pPr>
        <w:spacing w:after="12"/>
      </w:pPr>
      <w:r>
        <w:rPr>
          <w:sz w:val="17"/>
          <w:szCs w:val="17"/>
        </w:rPr>
        <w:t xml:space="preserve">• Always inspect coded missings and zero-inflation before modelling survey income data.</w:t>
      </w:r>
    </w:p>
    <w:p>
      <w:pPr>
        <w:spacing w:after="12"/>
      </w:pPr>
      <w:r>
        <w:rPr>
          <w:sz w:val="17"/>
          <w:szCs w:val="17"/>
        </w:rPr>
        <w:t xml:space="preserve">• Multiple regression raises explanatory power and enables ceteris-paribus statements about education returns.</w:t>
      </w:r>
    </w:p>
    <w:p>
      <w:pPr>
        <w:spacing w:after="12"/>
      </w:pPr>
      <w:r>
        <w:rPr>
          <w:sz w:val="17"/>
          <w:szCs w:val="17"/>
        </w:rPr>
        <w:t xml:space="preserve">• Coefficient narratives must be rewritten for different audiences (data-literacy &amp; subject-knowledge checklist).</w:t>
      </w:r>
    </w:p>
    <w:p>
      <w:pPr>
        <w:spacing w:after="12"/>
      </w:pPr>
      <w:r>
        <w:rPr>
          <w:sz w:val="17"/>
          <w:szCs w:val="17"/>
        </w:rPr>
        <w:t xml:space="preserve">• Simulation confirms the education coefficient stays positive under reasonable sample/noise perturbations.</w:t>
      </w:r>
    </w:p>
    <w:p>
      <w:pPr>
        <w:spacing w:after="12"/>
      </w:pPr>
      <w:r>
        <w:rPr>
          <w:sz w:val="17"/>
          <w:szCs w:val="17"/>
        </w:rPr>
        <w:t xml:space="preserve">• Deliverables: Practice Skeleton + Solution notebooks, flowchart, cheat sheet, audience-adapted memo.</w:t>
      </w:r>
    </w:p>
    <w:sectPr>
      <w:headerReference w:type="default" r:id="rId7"/>
      <w:footerReference w:type="default" r:id="rId8"/>
      <w:pgSz w:w="11906" w:h="16838" w:orient="portrait"/>
      <w:pgMar w:top="792" w:right="936" w:bottom="648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5"/>
        <w:szCs w:val="15"/>
      </w:rPr>
      <w:t xml:space="preserve">PSID 2017 Linear Regression Extension  |  </w:t>
    </w:r>
    <w:r>
      <w:rPr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Predicting Income with Social Data —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56fb9689abb7d90d5fa204081405902c4d14a8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2026-08-22T14:37:05.030Z</dcterms:created>
  <dcterms:modified xsi:type="dcterms:W3CDTF">2026-08-22T14:37:05.031Z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