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MEMORANDUM</w:t>
      </w:r>
    </w:p>
    <w:p>
      <w:pPr>
        <w:spacing w:after="6"/>
      </w:pPr>
      <w:r>
        <w:rPr>
          <w:sz w:val="18"/>
          <w:szCs w:val="18"/>
        </w:rPr>
        <w:t xml:space="preserve">To:          Social-Policy Research Team &amp; Leadership</w:t>
      </w:r>
    </w:p>
    <w:p>
      <w:pPr>
        <w:spacing w:after="6"/>
      </w:pPr>
      <w:r>
        <w:rPr>
          <w:sz w:val="18"/>
          <w:szCs w:val="18"/>
        </w:rPr>
        <w:t xml:space="preserve">From:        Data Analysis Unit</w:t>
      </w:r>
    </w:p>
    <w:p>
      <w:pPr>
        <w:spacing w:after="6"/>
      </w:pPr>
      <w:r>
        <w:rPr>
          <w:sz w:val="18"/>
          <w:szCs w:val="18"/>
        </w:rPr>
        <w:t xml:space="preserve">Date:        August 2026</w:t>
      </w:r>
    </w:p>
    <w:p>
      <w:pPr>
        <w:spacing w:after="120"/>
      </w:pPr>
      <w:r>
        <w:rPr>
          <w:sz w:val="18"/>
          <w:szCs w:val="18"/>
        </w:rPr>
        <w:t xml:space="preserve">Re:          Linear-regression results on PSID labor income (education, age, gender)</w:t>
      </w:r>
    </w:p>
    <w:p>
      <w:pPr>
        <w:spacing w:after="60"/>
      </w:pPr>
      <w:r>
        <w:rPr>
          <w:b/>
          <w:bCs/>
          <w:color w:val="1F4E79"/>
          <w:sz w:val="20"/>
          <w:szCs w:val="20"/>
        </w:rPr>
        <w:t xml:space="preserve">1. Purpose</w:t>
      </w:r>
    </w:p>
    <w:p>
      <w:pPr>
        <w:spacing w:after="80"/>
      </w:pPr>
      <w:r>
        <w:rPr>
          <w:sz w:val="17"/>
          <w:szCs w:val="17"/>
        </w:rPr>
        <w:t xml:space="preserve">This memo reports a cleaned linear-regression analysis of 2017 PSID respondents that relates years of formal education, age and gender to annual labor income. Three audience-ready versions of the key finding are provided so the same statistical result can be used with technical supervisors, executives and non-specialist stakeholders (following the audience-analysis principles in the attached PDFs).</w:t>
      </w:r>
    </w:p>
    <w:p>
      <w:pPr>
        <w:spacing w:after="60"/>
      </w:pPr>
      <w:r>
        <w:rPr>
          <w:b/>
          <w:bCs/>
          <w:color w:val="1F4E79"/>
          <w:sz w:val="20"/>
          <w:szCs w:val="20"/>
        </w:rPr>
        <w:t xml:space="preserve">2. Data &amp; Method (Technical Supervisor version)</w:t>
      </w:r>
    </w:p>
    <w:p>
      <w:pPr>
        <w:spacing w:after="40"/>
      </w:pPr>
      <w:r>
        <w:rPr>
          <w:sz w:val="17"/>
          <w:szCs w:val="17"/>
        </w:rPr>
        <w:t xml:space="preserve">Analytic sample: age 18–75, education_years 5–25, labor_income &gt; 0 (n ≈ 1 600 after list-wise deletion of coded missings). 60/40 train-test split (seed 123). OLS models: (1) labor_income ~ education_years; (2) labor_income ~ education_years + age + gender (factor). Model 2 R² ≈ 0.13; education coefficient ≈ +$1 400 (p &lt; 0.001) holding age and gender fixed. Residual diagnostics show large residual variance; classical assumptions are approximately satisfied for inference but the model is not a complete wage equation.</w:t>
      </w:r>
    </w:p>
    <w:p>
      <w:pPr>
        <w:spacing w:after="60"/>
      </w:pPr>
      <w:r>
        <w:rPr>
          <w:b/>
          <w:bCs/>
          <w:color w:val="1F4E79"/>
          <w:sz w:val="20"/>
          <w:szCs w:val="20"/>
        </w:rPr>
        <w:t xml:space="preserve">3. Executive Headline</w:t>
      </w:r>
    </w:p>
    <w:p>
      <w:pPr>
        <w:spacing w:after="40"/>
      </w:pPr>
      <w:r>
        <w:rPr>
          <w:sz w:val="17"/>
          <w:szCs w:val="17"/>
        </w:rPr>
        <w:t xml:space="preserve">After accounting for age and gender, each additional year of formal education is associated with roughly $1 400 higher annual labor income among earners in the PSID sample. The model explains about 13 % of income variation; many other factors remain. The education return is statistically robust under sample and noise simulations.</w:t>
      </w:r>
    </w:p>
    <w:p>
      <w:pPr>
        <w:spacing w:after="60"/>
      </w:pPr>
      <w:r>
        <w:rPr>
          <w:b/>
          <w:bCs/>
          <w:color w:val="1F4E79"/>
          <w:sz w:val="20"/>
          <w:szCs w:val="20"/>
        </w:rPr>
        <w:t xml:space="preserve">4. Non-Specialist Plain-Language Version</w:t>
      </w:r>
    </w:p>
    <w:p>
      <w:pPr>
        <w:spacing w:after="40"/>
      </w:pPr>
      <w:r>
        <w:rPr>
          <w:sz w:val="17"/>
          <w:szCs w:val="17"/>
        </w:rPr>
        <w:t xml:space="preserve">People who spent more years in school tend to earn more money from their jobs, even when we compare people of the same age and gender. On average, one extra year of schooling lines up with about $1 400 more in yearly pay in this national survey. Schooling is only one piece of the puzzle—experience, the type of job, and where someone lives also matter a great deal.</w:t>
      </w:r>
    </w:p>
    <w:p>
      <w:pPr>
        <w:spacing w:after="60"/>
      </w:pPr>
      <w:r>
        <w:rPr>
          <w:b/>
          <w:bCs/>
          <w:color w:val="1F4E79"/>
          <w:sz w:val="20"/>
          <w:szCs w:val="20"/>
        </w:rPr>
        <w:t xml:space="preserve">5. Recommendations</w:t>
      </w:r>
    </w:p>
    <w:p>
      <w:pPr>
        <w:spacing w:after="20"/>
      </w:pPr>
      <w:r>
        <w:rPr>
          <w:sz w:val="17"/>
          <w:szCs w:val="17"/>
        </w:rPr>
        <w:t xml:space="preserve">• Use the multiple-regression coefficient (not the simple correlation) when discussing “returns to education.”</w:t>
      </w:r>
    </w:p>
    <w:p>
      <w:pPr>
        <w:spacing w:after="20"/>
      </w:pPr>
      <w:r>
        <w:rPr>
          <w:sz w:val="17"/>
          <w:szCs w:val="17"/>
        </w:rPr>
        <w:t xml:space="preserve">• Match the narrative depth to the audience’s data literacy and subject knowledge (see cheat-sheet matrix).</w:t>
      </w:r>
    </w:p>
    <w:p>
      <w:pPr>
        <w:spacing w:after="20"/>
      </w:pPr>
      <w:r>
        <w:rPr>
          <w:sz w:val="17"/>
          <w:szCs w:val="17"/>
        </w:rPr>
        <w:t xml:space="preserve">• Treat the present model as descriptive / associational; causal claims would require stronger identification.</w:t>
      </w:r>
    </w:p>
    <w:p>
      <w:pPr>
        <w:spacing w:after="20"/>
      </w:pPr>
      <w:r>
        <w:rPr>
          <w:sz w:val="17"/>
          <w:szCs w:val="17"/>
        </w:rPr>
        <w:t xml:space="preserve">• Next analytic steps: occupation/industry controls, hours worked, geographic fixed effects, or a two-part model that separately addresses the extensive margin (any earnings) and intensive margin (amount).</w:t>
      </w:r>
    </w:p>
    <w:p>
      <w:pPr>
        <w:spacing w:after="20" w:before="100"/>
      </w:pPr>
      <w:r>
        <w:rPr>
          <w:i/>
          <w:iCs/>
          <w:color w:val="555555"/>
          <w:sz w:val="15"/>
          <w:szCs w:val="15"/>
        </w:rPr>
        <w:t xml:space="preserve">Attachments: Practice Skeleton &amp; Solution notebooks, 1-page summary report, flowchart, cheat sheet, simulation output.</w:t>
      </w:r>
    </w:p>
    <w:sectPr>
      <w:headerReference w:type="default" r:id="rId7"/>
      <w:footerReference w:type="default" r:id="rId8"/>
      <w:pgSz w:w="11906" w:h="16838" w:orient="portrait"/>
      <w:pgMar w:top="1008" w:right="1152" w:bottom="863"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Predicting Income with Social Data  |  Confidential  |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4"/>
        <w:szCs w:val="14"/>
      </w:rPr>
      <w:t xml:space="preserve">Internal Research Memo — Audience-Adapted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2026-08-22T14:38:04.600Z</dcterms:created>
  <dcterms:modified xsi:type="dcterms:W3CDTF">2026-08-22T14:38:04.600Z</dcterms:modified>
</cp:coreProperties>
</file>

<file path=docProps/custom.xml><?xml version="1.0" encoding="utf-8"?>
<Properties xmlns="http://schemas.openxmlformats.org/officeDocument/2006/custom-properties" xmlns:vt="http://schemas.openxmlformats.org/officeDocument/2006/docPropsVTypes"/>
</file>