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26"/>
          <w:szCs w:val="26"/>
        </w:rPr>
        <w:t xml:space="preserve">Strategy Guide: When &amp; How to Apply This Project Pattern</w:t>
      </w:r>
    </w:p>
    <w:p>
      <w:pPr>
        <w:spacing w:after="40"/>
      </w:pPr>
      <w:r>
        <w:rPr>
          <w:b/>
          <w:bCs/>
          <w:color w:val="1F4E79"/>
          <w:sz w:val="20"/>
          <w:szCs w:val="20"/>
        </w:rPr>
        <w:t xml:space="preserve">When this pattern is recommended</w:t>
      </w:r>
    </w:p>
    <w:p>
      <w:pPr>
        <w:spacing w:after="20"/>
      </w:pPr>
      <w:r>
        <w:rPr>
          <w:sz w:val="17"/>
          <w:szCs w:val="17"/>
        </w:rPr>
        <w:t xml:space="preserve">• You have a continuous outcome (income, test scores, sales, counts that are approximately continuous) and a small set of continuous or categorical predictors.</w:t>
      </w:r>
    </w:p>
    <w:p>
      <w:pPr>
        <w:spacing w:after="20"/>
      </w:pPr>
      <w:r>
        <w:rPr>
          <w:sz w:val="17"/>
          <w:szCs w:val="17"/>
        </w:rPr>
        <w:t xml:space="preserve">• Stakeholders need both prediction and interpretable “how much does X matter?” statements.</w:t>
      </w:r>
    </w:p>
    <w:p>
      <w:pPr>
        <w:spacing w:after="20"/>
      </w:pPr>
      <w:r>
        <w:rPr>
          <w:sz w:val="17"/>
          <w:szCs w:val="17"/>
        </w:rPr>
        <w:t xml:space="preserve">• Multiple audiences (technical, executive, public) will read the same analysis.</w:t>
      </w:r>
    </w:p>
    <w:p>
      <w:pPr>
        <w:spacing w:after="60"/>
      </w:pPr>
      <w:r>
        <w:rPr>
          <w:sz w:val="17"/>
          <w:szCs w:val="17"/>
        </w:rPr>
        <w:t xml:space="preserve">• Survey or administrative data that contain coded missings, zero-inflation, or extreme values.</w:t>
      </w:r>
    </w:p>
    <w:p>
      <w:pPr>
        <w:spacing w:after="40"/>
      </w:pPr>
      <w:r>
        <w:rPr>
          <w:b/>
          <w:bCs/>
          <w:color w:val="1F4E79"/>
          <w:sz w:val="20"/>
          <w:szCs w:val="20"/>
        </w:rPr>
        <w:t xml:space="preserve">When to choose a different approach</w:t>
      </w:r>
    </w:p>
    <w:p>
      <w:pPr>
        <w:spacing w:after="20"/>
      </w:pPr>
      <w:r>
        <w:rPr>
          <w:sz w:val="17"/>
          <w:szCs w:val="17"/>
        </w:rPr>
        <w:t xml:space="preserve">• Binary or count outcomes → logistic / Poisson / negative-binomial models.</w:t>
      </w:r>
    </w:p>
    <w:p>
      <w:pPr>
        <w:spacing w:after="20"/>
      </w:pPr>
      <w:r>
        <w:rPr>
          <w:sz w:val="17"/>
          <w:szCs w:val="17"/>
        </w:rPr>
        <w:t xml:space="preserve">• Strong selection into positive values → two-part or hurdle models.</w:t>
      </w:r>
    </w:p>
    <w:p>
      <w:pPr>
        <w:spacing w:after="20"/>
      </w:pPr>
      <w:r>
        <w:rPr>
          <w:sz w:val="17"/>
          <w:szCs w:val="17"/>
        </w:rPr>
        <w:t xml:space="preserve">• Causal claims are the primary goal → experimental or quasi-experimental designs (RCT, RDD, IV, DiD).</w:t>
      </w:r>
    </w:p>
    <w:p>
      <w:pPr>
        <w:spacing w:after="60"/>
      </w:pPr>
      <w:r>
        <w:rPr>
          <w:sz w:val="17"/>
          <w:szCs w:val="17"/>
        </w:rPr>
        <w:t xml:space="preserve">• Extremely high-dimensional predictors → regularized regression or tree ensembles (still keep a simple linear benchmark).</w:t>
      </w:r>
    </w:p>
    <w:p>
      <w:pPr>
        <w:spacing w:after="40"/>
      </w:pPr>
      <w:r>
        <w:rPr>
          <w:b/>
          <w:bCs/>
          <w:color w:val="1F4E79"/>
          <w:sz w:val="20"/>
          <w:szCs w:val="20"/>
        </w:rPr>
        <w:t xml:space="preserve">Reusable workflow checklist</w:t>
      </w:r>
    </w:p>
    <w:p>
      <w:pPr>
        <w:spacing w:after="12"/>
      </w:pPr>
      <w:r>
        <w:rPr>
          <w:sz w:val="17"/>
          <w:szCs w:val="17"/>
        </w:rPr>
        <w:t xml:space="preserve">1. str() / summary() / table() → discover coded missings &amp; zero mass.</w:t>
      </w:r>
    </w:p>
    <w:p>
      <w:pPr>
        <w:spacing w:after="12"/>
      </w:pPr>
      <w:r>
        <w:rPr>
          <w:sz w:val="17"/>
          <w:szCs w:val="17"/>
        </w:rPr>
        <w:t xml:space="preserve">2. Domain-informed filters (age, education bounds, positive outcome).</w:t>
      </w:r>
    </w:p>
    <w:p>
      <w:pPr>
        <w:spacing w:after="12"/>
      </w:pPr>
      <w:r>
        <w:rPr>
          <w:sz w:val="17"/>
          <w:szCs w:val="17"/>
        </w:rPr>
        <w:t xml:space="preserve">3. Convert categorical codes to labelled factors.</w:t>
      </w:r>
    </w:p>
    <w:p>
      <w:pPr>
        <w:spacing w:after="12"/>
      </w:pPr>
      <w:r>
        <w:rPr>
          <w:sz w:val="17"/>
          <w:szCs w:val="17"/>
        </w:rPr>
        <w:t xml:space="preserve">4. Train/test split with fixed seed.</w:t>
      </w:r>
    </w:p>
    <w:p>
      <w:pPr>
        <w:spacing w:after="12"/>
      </w:pPr>
      <w:r>
        <w:rPr>
          <w:sz w:val="17"/>
          <w:szCs w:val="17"/>
        </w:rPr>
        <w:t xml:space="preserve">5. Simple → multiple LM; record R² and key coefficients.</w:t>
      </w:r>
    </w:p>
    <w:p>
      <w:pPr>
        <w:spacing w:after="12"/>
      </w:pPr>
      <w:r>
        <w:rPr>
          <w:sz w:val="17"/>
          <w:szCs w:val="17"/>
        </w:rPr>
        <w:t xml:space="preserve">6. Residual &amp; LOESS visual checks.</w:t>
      </w:r>
    </w:p>
    <w:p>
      <w:pPr>
        <w:spacing w:after="12"/>
      </w:pPr>
      <w:r>
        <w:rPr>
          <w:sz w:val="17"/>
          <w:szCs w:val="17"/>
        </w:rPr>
        <w:t xml:space="preserve">7. Write three narratives (expert / executive / nonspecialist).</w:t>
      </w:r>
    </w:p>
    <w:p>
      <w:pPr>
        <w:spacing w:after="60"/>
      </w:pPr>
      <w:r>
        <w:rPr>
          <w:sz w:val="17"/>
          <w:szCs w:val="17"/>
        </w:rPr>
        <w:t xml:space="preserve">8. Sensitivity / Monte-Carlo simulation of key parameters.</w:t>
      </w:r>
    </w:p>
    <w:p>
      <w:pPr>
        <w:spacing w:after="40"/>
      </w:pPr>
      <w:r>
        <w:rPr>
          <w:b/>
          <w:bCs/>
          <w:color w:val="1F4E79"/>
          <w:sz w:val="20"/>
          <w:szCs w:val="20"/>
        </w:rPr>
        <w:t xml:space="preserve">Audience checklist (from attached PDFs)</w:t>
      </w:r>
    </w:p>
    <w:p>
      <w:pPr>
        <w:spacing w:after="12"/>
      </w:pPr>
      <w:r>
        <w:rPr>
          <w:sz w:val="17"/>
          <w:szCs w:val="17"/>
        </w:rPr>
        <w:t xml:space="preserve">• Data literacy: can they read a boxplot / residual plot?</w:t>
      </w:r>
    </w:p>
    <w:p>
      <w:pPr>
        <w:spacing w:after="12"/>
      </w:pPr>
      <w:r>
        <w:rPr>
          <w:sz w:val="17"/>
          <w:szCs w:val="17"/>
        </w:rPr>
        <w:t xml:space="preserve">• Subject knowledge: do they already know what WACC or “returns to schooling” means?</w:t>
      </w:r>
    </w:p>
    <w:p>
      <w:pPr>
        <w:spacing w:after="12"/>
      </w:pPr>
      <w:r>
        <w:rPr>
          <w:sz w:val="17"/>
          <w:szCs w:val="17"/>
        </w:rPr>
        <w:t xml:space="preserve">• Needs &amp; interests: prediction, explanation, or decision support?</w:t>
      </w:r>
    </w:p>
    <w:p>
      <w:pPr>
        <w:spacing w:after="12"/>
      </w:pPr>
      <w:r>
        <w:rPr>
          <w:sz w:val="17"/>
          <w:szCs w:val="17"/>
        </w:rPr>
        <w:t xml:space="preserve">• Mixed audiences → clear headings + optional technical appendix.</w:t>
      </w:r>
    </w:p>
    <w:sectPr>
      <w:headerReference w:type="default" r:id="rId7"/>
      <w:pgSz w:w="11906" w:h="16838" w:orient="portrait"/>
      <w:pgMar w:top="1008" w:right="1080" w:bottom="863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4"/>
        <w:szCs w:val="14"/>
      </w:rPr>
      <w:t xml:space="preserve">Strategy Guide — Linear Regression on Survey / Social Data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2026-08-22T14:38:25.539Z</dcterms:created>
  <dcterms:modified xsi:type="dcterms:W3CDTF">2026-08-22T14:38:25.539Z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