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MEMO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Audience-Adapted Communication for CO2 Visualization Project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To: Climate Analysis / Risk / Communication Teams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From: Data Visualization Practice Series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Re: Extended “Visualizing Carbon Dioxide Levels” deliverables and audience guidance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Purpose</w:t>
      </w:r>
    </w:p>
    <w:p>
      <w:pPr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This memo accompanies the Practice Skeleton, Solution, Cheatsheet, Reusable Template, and 1-Page Summary Report for the ggplot2 CO2 visualization project. It translates the attached audience-analysis materials into concrete messaging choices for three primary reader groups.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Primary Finding (shared across audiences)</w:t>
      </w:r>
    </w:p>
    <w:p>
      <w:pPr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Atmospheric CO2 measured in the modern instrumental record (IAC) has already exceeded the highest values preserved in the ~800 000-year ice-core archive (NOAA / EPICA-style). The rise is concentrated after ~1950.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Audience-Specific Framing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Expert / Technician (climate scientists, modelers)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• Retain full glacial–interglacial cycles; report exact max (298.6 ppmv) and age context.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• Discuss rate-of-change contrast (ppm per decade modern vs orbital-scale transitions).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• Include NH–SH difference and Holocene-only baseline as diagnostic checks.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• Language: technical but precise; cite data provenance in subtitles.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Executive / Decision-maker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• Lead with the exceedance fact and the post-1950 concentration of the rise.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• One clean chart: modern series + single dashed historical-peak line.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• Action implication: natural-variability arguments no longer bound current concentrations.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• Language: short, numeric, decision-oriented; avoid BP jargon.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Nonspecialist / Public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• Anchor on the visual metaphor: “The red dashed line is the highest natural CO2 level we ever measured before the industrial age. Everything above it is new.”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• Prefer Holocene max (~282 ppm) as the more intuitive “pre-industrial natural” benchmark.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• Minimal statistical vocabulary; one clear takeaway sentence.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Deliverables Included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• Visualizing_Carbon_Dioxide_Levels_Practice_Skeleton.ipynb — step-by-step tasks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• Visualizing_Carbon_Dioxide_Levels_Solution.ipynb — full code, alternates, simulation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• Time_Series_Line_Viz_Reusable_Template.ipynb — drop-in for similar paleo/modern pairs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• Visualizing_Carbon_Dioxide_Levels_Cheatsheet.docx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• Visualizing_Carbon_Dioxide_Levels_1Page_Summary_Report.docx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• co2_levels_flowchart.png + supporting chart PNGs</w:t>
      </w:r>
    </w:p>
    <w:p>
      <w:pPr>
        <w:spacing w:after="40"/>
        <w:ind w:left="288"/>
      </w:pPr>
      <w:r>
        <w:rPr>
          <w:rFonts w:ascii="Calibri" w:cs="Calibri" w:eastAsia="Calibri" w:hAnsi="Calibri"/>
          <w:sz w:val="18"/>
          <w:szCs w:val="18"/>
        </w:rPr>
        <w:t xml:space="preserve">• data/carbon_dioxide_levels.csv, data/yearly_co2.csv</w:t>
      </w:r>
    </w:p>
    <w:p>
      <w:pPr>
        <w:pStyle w:val="Heading2"/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Recommendation</w:t>
      </w:r>
    </w:p>
    <w:p>
      <w:pPr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When presenting, open with the audience-appropriate one-sentence takeaway, show the modern + reference-line chart, then offer the deep-time panel only if the audience has the data literacy and time to absorb glacial cycles. The reusable template makes the same pipeline available for temperature, methane, or sea-level series with only path and column changes.</w:t>
      </w:r>
    </w:p>
    <w:p>
      <w:pPr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— End of Memo —</w:t>
      </w:r>
    </w:p>
    <w:sectPr>
      <w:head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i/>
        <w:iCs/>
        <w:color w:val="555555"/>
        <w:sz w:val="15"/>
        <w:szCs w:val="15"/>
      </w:rPr>
      <w:t xml:space="preserve">Project Memo — Visualizing Carbon Dioxide Levels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2026-08-22T11:35:06.609Z</dcterms:created>
  <dcterms:modified xsi:type="dcterms:W3CDTF">2026-08-22T11:35:06.609Z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