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Strategy Guide: Deep-Time vs Modern Time-Series Visualizations</w:t>
      </w:r>
    </w:p>
    <w:p>
      <w:pPr>
        <w:pStyle w:val="Heading2"/>
        <w:spacing w:after="7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When to use this pattern</w:t>
      </w:r>
    </w:p>
    <w:p>
      <w:pPr>
        <w:spacing w:after="35"/>
        <w:ind w:left="280"/>
      </w:pPr>
      <w:r>
        <w:rPr>
          <w:rFonts w:ascii="Calibri" w:cs="Calibri" w:eastAsia="Calibri" w:hAnsi="Calibri"/>
          <w:sz w:val="17"/>
          <w:szCs w:val="17"/>
        </w:rPr>
        <w:t xml:space="preserve">• You have a long paleo / proxy record (ice cores, tree rings, sediments) and a shorter instrumental series.</w:t>
      </w:r>
    </w:p>
    <w:p>
      <w:pPr>
        <w:spacing w:after="35"/>
        <w:ind w:left="280"/>
      </w:pPr>
      <w:r>
        <w:rPr>
          <w:rFonts w:ascii="Calibri" w:cs="Calibri" w:eastAsia="Calibri" w:hAnsi="Calibri"/>
          <w:sz w:val="17"/>
          <w:szCs w:val="17"/>
        </w:rPr>
        <w:t xml:space="preserve">• The scientific or policy question is whether the recent period lies inside or outside natural variability.</w:t>
      </w:r>
    </w:p>
    <w:p>
      <w:pPr>
        <w:spacing w:after="35"/>
        <w:ind w:left="280"/>
      </w:pPr>
      <w:r>
        <w:rPr>
          <w:rFonts w:ascii="Calibri" w:cs="Calibri" w:eastAsia="Calibri" w:hAnsi="Calibri"/>
          <w:sz w:val="17"/>
          <w:szCs w:val="17"/>
        </w:rPr>
        <w:t xml:space="preserve">• Audience includes at least one non-specialist or executive who benefits from a single clear reference line.</w:t>
      </w:r>
    </w:p>
    <w:p>
      <w:pPr>
        <w:pStyle w:val="Heading2"/>
        <w:spacing w:after="7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When NOT to use (or to adapt)</w:t>
      </w:r>
    </w:p>
    <w:p>
      <w:pPr>
        <w:spacing w:after="35"/>
        <w:ind w:left="280"/>
      </w:pPr>
      <w:r>
        <w:rPr>
          <w:rFonts w:ascii="Calibri" w:cs="Calibri" w:eastAsia="Calibri" w:hAnsi="Calibri"/>
          <w:sz w:val="17"/>
          <w:szCs w:val="17"/>
        </w:rPr>
        <w:t xml:space="preserve">• Only one series is available — then a simple annotated line chart suffices.</w:t>
      </w:r>
    </w:p>
    <w:p>
      <w:pPr>
        <w:spacing w:after="35"/>
        <w:ind w:left="280"/>
      </w:pPr>
      <w:r>
        <w:rPr>
          <w:rFonts w:ascii="Calibri" w:cs="Calibri" w:eastAsia="Calibri" w:hAnsi="Calibri"/>
          <w:sz w:val="17"/>
          <w:szCs w:val="17"/>
        </w:rPr>
        <w:t xml:space="preserve">• The proxy is not on a comparable absolute scale (relative anomalies only) — convert or dual-axis carefully.</w:t>
      </w:r>
    </w:p>
    <w:p>
      <w:pPr>
        <w:spacing w:after="35"/>
        <w:ind w:left="280"/>
      </w:pPr>
      <w:r>
        <w:rPr>
          <w:rFonts w:ascii="Calibri" w:cs="Calibri" w:eastAsia="Calibri" w:hAnsi="Calibri"/>
          <w:sz w:val="17"/>
          <w:szCs w:val="17"/>
        </w:rPr>
        <w:t xml:space="preserve">• Extremely irregular sampling — prefer geom_point + geom_smooth or step charts.</w:t>
      </w:r>
    </w:p>
    <w:p>
      <w:pPr>
        <w:pStyle w:val="Heading2"/>
        <w:spacing w:after="7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Recommended workflow</w:t>
      </w:r>
    </w:p>
    <w:p>
      <w:pPr>
        <w:spacing w:after="35"/>
        <w:ind w:left="280"/>
      </w:pPr>
      <w:r>
        <w:rPr>
          <w:rFonts w:ascii="Calibri" w:cs="Calibri" w:eastAsia="Calibri" w:hAnsi="Calibri"/>
          <w:sz w:val="17"/>
          <w:szCs w:val="17"/>
        </w:rPr>
        <w:t xml:space="preserve">• 1. Load &amp; inspect both files; confirm units and time conventions (BP vs calendar).</w:t>
      </w:r>
    </w:p>
    <w:p>
      <w:pPr>
        <w:spacing w:after="35"/>
        <w:ind w:left="280"/>
      </w:pPr>
      <w:r>
        <w:rPr>
          <w:rFonts w:ascii="Calibri" w:cs="Calibri" w:eastAsia="Calibri" w:hAnsi="Calibri"/>
          <w:sz w:val="17"/>
          <w:szCs w:val="17"/>
        </w:rPr>
        <w:t xml:space="preserve">• 2. Deep-time chart with scale_x_reverse() if BP.</w:t>
      </w:r>
    </w:p>
    <w:p>
      <w:pPr>
        <w:spacing w:after="35"/>
        <w:ind w:left="280"/>
      </w:pPr>
      <w:r>
        <w:rPr>
          <w:rFonts w:ascii="Calibri" w:cs="Calibri" w:eastAsia="Calibri" w:hAnsi="Calibri"/>
          <w:sz w:val="17"/>
          <w:szCs w:val="17"/>
        </w:rPr>
        <w:t xml:space="preserve">• 3. Compute max (or 95th percentile / Holocene max) as reference.</w:t>
      </w:r>
    </w:p>
    <w:p>
      <w:pPr>
        <w:spacing w:after="35"/>
        <w:ind w:left="280"/>
      </w:pPr>
      <w:r>
        <w:rPr>
          <w:rFonts w:ascii="Calibri" w:cs="Calibri" w:eastAsia="Calibri" w:hAnsi="Calibri"/>
          <w:sz w:val="17"/>
          <w:szCs w:val="17"/>
        </w:rPr>
        <w:t xml:space="preserve">• 4. Modern chart + geom_hline; put constant label inside aes for legend.</w:t>
      </w:r>
    </w:p>
    <w:p>
      <w:pPr>
        <w:spacing w:after="35"/>
        <w:ind w:left="280"/>
      </w:pPr>
      <w:r>
        <w:rPr>
          <w:rFonts w:ascii="Calibri" w:cs="Calibri" w:eastAsia="Calibri" w:hAnsi="Calibri"/>
          <w:sz w:val="17"/>
          <w:szCs w:val="17"/>
        </w:rPr>
        <w:t xml:space="preserve">• 5. Optional: rate calculation, first-exceedance annotation, NH/SH or multi-proxy facets.</w:t>
      </w:r>
    </w:p>
    <w:p>
      <w:pPr>
        <w:spacing w:after="35"/>
        <w:ind w:left="280"/>
      </w:pPr>
      <w:r>
        <w:rPr>
          <w:rFonts w:ascii="Calibri" w:cs="Calibri" w:eastAsia="Calibri" w:hAnsi="Calibri"/>
          <w:sz w:val="17"/>
          <w:szCs w:val="17"/>
        </w:rPr>
        <w:t xml:space="preserve">• 6. Write three one-sentence takeaways (expert / executive / public).</w:t>
      </w:r>
    </w:p>
    <w:p>
      <w:pPr>
        <w:pStyle w:val="Heading2"/>
        <w:spacing w:after="7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Reusable assets in this project</w:t>
      </w:r>
    </w:p>
    <w:p>
      <w:pPr>
        <w:spacing w:after="35"/>
        <w:ind w:left="280"/>
      </w:pPr>
      <w:r>
        <w:rPr>
          <w:rFonts w:ascii="Calibri" w:cs="Calibri" w:eastAsia="Calibri" w:hAnsi="Calibri"/>
          <w:sz w:val="17"/>
          <w:szCs w:val="17"/>
        </w:rPr>
        <w:t xml:space="preserve">• Time_Series_Line_Viz_Reusable_Template.ipynb — change paths + column names only.</w:t>
      </w:r>
    </w:p>
    <w:p>
      <w:pPr>
        <w:spacing w:after="35"/>
        <w:ind w:left="280"/>
      </w:pPr>
      <w:r>
        <w:rPr>
          <w:rFonts w:ascii="Calibri" w:cs="Calibri" w:eastAsia="Calibri" w:hAnsi="Calibri"/>
          <w:sz w:val="17"/>
          <w:szCs w:val="17"/>
        </w:rPr>
        <w:t xml:space="preserve">• Cheatsheet + flowchart for quick onboarding of new analysts.</w:t>
      </w:r>
    </w:p>
    <w:p>
      <w:pPr>
        <w:spacing w:after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Keep the visual grammar consistent across projects so stakeholders learn the “red dashed = natural max” convention once.</w:t>
      </w:r>
    </w:p>
    <w:sectPr>
      <w:pgSz w:w="12240" w:h="15840" w:orient="portrait"/>
      <w:pgMar w:top="650" w:right="650" w:bottom="65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2026-08-22T11:35:21.623Z</dcterms:created>
  <dcterms:modified xsi:type="dcterms:W3CDTF">2026-08-22T11:35:21.623Z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