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4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18"/>
          <w:szCs w:val="18"/>
        </w:rPr>
        <w:t xml:space="preserve">INTERNAL TEACHING MEMO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Logistic GD + scikit-learn — who needs which version of the story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To: Course / lab facilitators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From: Extended-project pack (LogReg_GD_Sklearn)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Re: Audience adaptation for combined C1_W3 Lab06 + Lab07</w:t>
      </w:r>
    </w:p>
    <w:p>
      <w:pPr>
        <w:spacing w:after="20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Date: 26 August 2026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Why this memo exists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The attached Jočys note turns “consider the audience” into a checklist (data literacy, subject knowledge). The McMurrey chapter splits readers into experts, technicians, executives, and nonspecialists, and warns that mixed audiences need signposts rather than one undifferentiated dump. The data-analysis report note adds a third cut: primary collaborator, executive skimmer, technical supervisor. This pack uses all three cuts on the same six-point classifier.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Four voices, one result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Practitioner / expert (high data literacy). Lead with the gradient check, the vectorized alternate, J≈0.017, and the L2-vs-unregularized coefficient gap. They will notice if you skip the clip on z or log.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Technician / credit-risk analyst (subject knowledge, practical). Lead with “f is a model PD” and the 0.5 contour. On the DTI drill, give the cutoff and immediately label it a teaching cutoff. They care about threshold and C as levers.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Executive. Two sentences: both methods classify the six training cases correctly; the library’s default quietly shrinks weights. Then the limitation: n=6, no hold-out. No ∂J.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Nonspecialist. A dividing line that is nudged downhill until fewer dots sit on the wrong side. No cost surface, no Greek letters.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How to use the notebooks with mixed rooms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Skeleton first. Solution is a key, not a script to copy in the first hour.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Show logreg_gd_sklearn_flowchart.png on the board before any code.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When someone asks “why don’t the weights match sklearn?”, go to logreg_sklearn_compare.png — that is the designed teaching moment.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Simulation cell is the place to let people change α and watch J explode or crawl.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Section 7 of both notebooks is the written audience exercise. Grade the four paragraphs on whether the facts stay the same while the vocabulary changes.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What this is not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1"/>
          <w:szCs w:val="21"/>
        </w:rPr>
        <w:t xml:space="preserve">Not a medical classifier, not a production PD model, not advice to set a DTI policy at 0.36. The 1-D tumor set is the Coursera toy. The DTI file has ten rows on purpose.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0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2026-08-26T22:23:18.654Z</dcterms:created>
  <dcterms:modified xsi:type="dcterms:W3CDTF">2026-08-26T22:23:18.654Z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