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5276"/>
        </w:rPr>
        <w:t>Feature Engineering Techniques – Cheat Sheet</w:t>
      </w:r>
    </w:p>
    <w:p>
      <w:r>
        <w:rPr>
          <w:sz w:val="18"/>
        </w:rPr>
        <w:t>Practical transforms for credit-risk and tabular ML: domain ratios, scaling, binning, encoding, interactions, missing indicators.</w:t>
      </w:r>
    </w:p>
    <w:p>
      <w:pPr>
        <w:pStyle w:val="Heading2"/>
      </w:pPr>
      <w:r>
        <w:rPr>
          <w:color w:val="1A5276"/>
        </w:rPr>
        <w:t>1. Domain-Derived Features (Credit Risk)</w:t>
      </w:r>
    </w:p>
    <w:p>
      <w:pPr>
        <w:pStyle w:val="ListBullet"/>
      </w:pPr>
      <w:r>
        <w:t>DTI = total debt / annual income</w:t>
      </w:r>
    </w:p>
    <w:p>
      <w:pPr>
        <w:pStyle w:val="ListBullet"/>
      </w:pPr>
      <w:r>
        <w:t>Utilisation = revolving balance / credit limit</w:t>
      </w:r>
    </w:p>
    <w:p>
      <w:pPr>
        <w:pStyle w:val="ListBullet"/>
      </w:pPr>
      <w:r>
        <w:t>Log-income = log1p(income) – compresses right-skew</w:t>
      </w:r>
    </w:p>
    <w:p>
      <w:pPr>
        <w:pStyle w:val="ListBullet"/>
      </w:pPr>
      <w:r>
        <w:t>Credit age / history length – longer history usually lower risk</w:t>
      </w:r>
    </w:p>
    <w:p>
      <w:pPr>
        <w:pStyle w:val="Heading2"/>
      </w:pPr>
      <w:r>
        <w:rPr>
          <w:color w:val="1A5276"/>
        </w:rPr>
        <w:t>2. Numerical Transforms</w:t>
      </w:r>
    </w:p>
    <w:p>
      <w:pPr>
        <w:pStyle w:val="ListBullet"/>
      </w:pPr>
      <w:r>
        <w:rPr>
          <w:rFonts w:ascii="Consolas" w:hAnsi="Consolas"/>
          <w:b/>
          <w:sz w:val="16"/>
        </w:rPr>
        <w:t>np.log1p(x)</w:t>
      </w:r>
      <w:r>
        <w:t xml:space="preserve">  →  Log transform (handles zeros)</w:t>
      </w:r>
    </w:p>
    <w:p>
      <w:pPr>
        <w:pStyle w:val="ListBullet"/>
      </w:pPr>
      <w:r>
        <w:rPr>
          <w:rFonts w:ascii="Consolas" w:hAnsi="Consolas"/>
          <w:b/>
          <w:sz w:val="16"/>
        </w:rPr>
        <w:t>(x - x.mean()) / x.std()</w:t>
      </w:r>
      <w:r>
        <w:t xml:space="preserve">  →  Standard scaling (zero mean, unit variance)</w:t>
      </w:r>
    </w:p>
    <w:p>
      <w:pPr>
        <w:pStyle w:val="ListBullet"/>
      </w:pPr>
      <w:r>
        <w:rPr>
          <w:rFonts w:ascii="Consolas" w:hAnsi="Consolas"/>
          <w:b/>
          <w:sz w:val="16"/>
        </w:rPr>
        <w:t>(x - x.min()) / (x.max() - x.min())</w:t>
      </w:r>
      <w:r>
        <w:t xml:space="preserve">  →  Min-Max scaling to [0, 1]</w:t>
      </w:r>
    </w:p>
    <w:p>
      <w:pPr>
        <w:pStyle w:val="ListBullet"/>
      </w:pPr>
      <w:r>
        <w:rPr>
          <w:rFonts w:ascii="Consolas" w:hAnsi="Consolas"/>
          <w:b/>
          <w:sz w:val="16"/>
        </w:rPr>
        <w:t>pd.qcut(x, q=4)</w:t>
      </w:r>
      <w:r>
        <w:t xml:space="preserve">  →  Quantile / equal-frequency bins</w:t>
      </w:r>
    </w:p>
    <w:p>
      <w:pPr>
        <w:pStyle w:val="ListBullet"/>
      </w:pPr>
      <w:r>
        <w:rPr>
          <w:rFonts w:ascii="Consolas" w:hAnsi="Consolas"/>
          <w:b/>
          <w:sz w:val="16"/>
        </w:rPr>
        <w:t>pd.cut(x, bins=[...])</w:t>
      </w:r>
      <w:r>
        <w:t xml:space="preserve">  →  Custom / equal-width bins</w:t>
      </w:r>
    </w:p>
    <w:p>
      <w:pPr>
        <w:pStyle w:val="Heading2"/>
      </w:pPr>
      <w:r>
        <w:rPr>
          <w:color w:val="1A5276"/>
        </w:rPr>
        <w:t>3. Categorical Encoding</w:t>
      </w:r>
    </w:p>
    <w:p>
      <w:pPr>
        <w:pStyle w:val="ListBullet"/>
      </w:pPr>
      <w:r>
        <w:rPr>
          <w:rFonts w:ascii="Consolas" w:hAnsi="Consolas"/>
          <w:b/>
          <w:sz w:val="16"/>
        </w:rPr>
        <w:t>pd.get_dummies(s, dummy_na=True)</w:t>
      </w:r>
      <w:r>
        <w:t xml:space="preserve">  →  One-hot (including missing)</w:t>
      </w:r>
    </w:p>
    <w:p>
      <w:pPr>
        <w:pStyle w:val="ListBullet"/>
      </w:pPr>
      <w:r>
        <w:rPr>
          <w:rFonts w:ascii="Consolas" w:hAnsi="Consolas"/>
          <w:b/>
          <w:sz w:val="16"/>
        </w:rPr>
        <w:t>s.map({'A':0, 'B':1, ...})</w:t>
      </w:r>
      <w:r>
        <w:t xml:space="preserve">  →  Ordinal / manual mapping</w:t>
      </w:r>
    </w:p>
    <w:p>
      <w:pPr>
        <w:pStyle w:val="ListBullet"/>
      </w:pPr>
      <w:r>
        <w:rPr>
          <w:rFonts w:ascii="Consolas" w:hAnsi="Consolas"/>
          <w:b/>
          <w:sz w:val="16"/>
        </w:rPr>
        <w:t>s.map(s.groupby(s).target.mean())</w:t>
      </w:r>
      <w:r>
        <w:t xml:space="preserve">  →  Simple target / mean encoding (watch leakage)</w:t>
      </w:r>
    </w:p>
    <w:p>
      <w:pPr>
        <w:pStyle w:val="Heading2"/>
      </w:pPr>
      <w:r>
        <w:rPr>
          <w:color w:val="1A5276"/>
        </w:rPr>
        <w:t>4. Interactions &amp; Missing Indicators</w:t>
      </w:r>
    </w:p>
    <w:p>
      <w:pPr>
        <w:pStyle w:val="ListBullet"/>
      </w:pPr>
      <w:r>
        <w:t>Interaction: income * dti, age * credit_history, utilisation²</w:t>
      </w:r>
    </w:p>
    <w:p>
      <w:pPr>
        <w:pStyle w:val="ListBullet"/>
      </w:pPr>
      <w:r>
        <w:t>Missing flag: df['col_missing'] = df['col'].isna().astype(int)</w:t>
      </w:r>
    </w:p>
    <w:p>
      <w:pPr>
        <w:pStyle w:val="ListBullet"/>
      </w:pPr>
      <w:r>
        <w:t>Impute after creating the flag (median for numeric, mode for categorical)</w:t>
      </w:r>
    </w:p>
    <w:p>
      <w:pPr>
        <w:pStyle w:val="Heading2"/>
      </w:pPr>
      <w:r>
        <w:rPr>
          <w:color w:val="1A5276"/>
        </w:rPr>
        <w:t>5. Typical Pipeline Order</w:t>
      </w:r>
    </w:p>
    <w:p>
      <w:pPr>
        <w:pStyle w:val="ListBullet"/>
      </w:pPr>
      <w:r>
        <w:t>1. Domain ratios &amp; logs</w:t>
      </w:r>
    </w:p>
    <w:p>
      <w:pPr>
        <w:pStyle w:val="ListBullet"/>
      </w:pPr>
      <w:r>
        <w:t>2. Missing indicators + imputation</w:t>
      </w:r>
    </w:p>
    <w:p>
      <w:pPr>
        <w:pStyle w:val="ListBullet"/>
      </w:pPr>
      <w:r>
        <w:t>3. Scaling / binning of numeric fields</w:t>
      </w:r>
    </w:p>
    <w:p>
      <w:pPr>
        <w:pStyle w:val="ListBullet"/>
      </w:pPr>
      <w:r>
        <w:t>4. Encoding of categoricals</w:t>
      </w:r>
    </w:p>
    <w:p>
      <w:pPr>
        <w:pStyle w:val="ListBullet"/>
      </w:pPr>
      <w:r>
        <w:t>5. Interactions / polynomials on the cleaned fields</w:t>
      </w:r>
    </w:p>
    <w:p>
      <w:pPr>
        <w:pStyle w:val="ListBullet"/>
      </w:pPr>
      <w:r>
        <w:t>6. Final numeric matrix → model</w:t>
      </w:r>
    </w:p>
    <w:p>
      <w:pPr>
        <w:pStyle w:val="Heading2"/>
      </w:pPr>
      <w:r>
        <w:rPr>
          <w:color w:val="1A5276"/>
        </w:rPr>
        <w:t>6. Audience Notes</w:t>
      </w:r>
    </w:p>
    <w:p>
      <w:pPr>
        <w:pStyle w:val="ListBullet"/>
      </w:pPr>
      <w:r>
        <w:t>Analysts / data scientists – show full pipeline, correlations, AUC lift.</w:t>
      </w:r>
    </w:p>
    <w:p>
      <w:pPr>
        <w:pStyle w:val="ListBullet"/>
      </w:pPr>
      <w:r>
        <w:t>Credit Committee – show DTI / utilisation bins and default-rate bar charts; keep language business-friendly.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