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sz w:val="28"/>
          <w:szCs w:val="28"/>
        </w:rPr>
        <w:t xml:space="preserve">Sigmoid Function &amp; Logistic Regression — Detailed Cheat Sheet</w:t>
      </w:r>
    </w:p>
    <w:p>
      <w:pPr>
        <w:spacing w:after="80"/>
      </w:pPr>
      <w:r>
        <w:rPr>
          <w:b/>
          <w:bCs/>
          <w:color w:val="1a5276"/>
          <w:sz w:val="22"/>
          <w:szCs w:val="22"/>
        </w:rPr>
        <w:t xml:space="preserve">1. Core Formulas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Sigmoid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g(z) = 1 / (1 + e^{-z})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Maps R → (0,1)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Logistic model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f(x) = g(w·x + 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P(y=1|x)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Decision rule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ŷ = 1 if f ≥ τ else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τ usually 0.5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Log-odds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log(p/(1-p)) = w·x + 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Linear in 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Derivative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g'(z) = g(z)(1-g(z))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Useful for GD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Logistic loss (1 ex)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-y log f - (1-y) log(1-f)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Cross-entropy</w:t>
            </w:r>
          </w:p>
        </w:tc>
      </w:tr>
    </w:tbl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2. Implementation Snippets (NumPy)</w:t>
      </w:r>
    </w:p>
    <w:p>
      <w:pPr>
        <w:shd w:fill="F4F6F7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def sigmoid(z): return 1 / (1 + np.exp(-z))</w:t>
      </w:r>
    </w:p>
    <w:p>
      <w:pPr>
        <w:shd w:fill="F4F6F7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def sigmoid_stable(z): return 1 / (1 + np.exp(-np.clip(z, -500, 500)))</w:t>
      </w:r>
    </w:p>
    <w:p>
      <w:pPr>
        <w:shd w:fill="F4F6F7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from scipy.special import expit   # preferred in production</w:t>
      </w:r>
    </w:p>
    <w:p>
      <w:pPr>
        <w:shd w:fill="F4F6F7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probs = sigmoid(w * x + b);  preds = (probs &gt;= 0.5).astype(int)</w:t>
      </w:r>
    </w:p>
    <w:p>
      <w:pPr>
        <w:shd w:fill="F4F6F7" w:val="clear"/>
        <w:spacing w:after="120"/>
      </w:pPr>
      <w:r>
        <w:rPr>
          <w:rFonts w:ascii="Consolas" w:cs="Consolas" w:eastAsia="Consolas" w:hAnsi="Consolas"/>
          <w:sz w:val="17"/>
          <w:szCs w:val="17"/>
        </w:rPr>
        <w:t xml:space="preserve">loss = -np.mean(y*np.log(np.clip(p,1e-12,1-1e-12)) + (1-y)*np.log(...))</w:t>
      </w:r>
    </w:p>
    <w:p>
      <w:pPr>
        <w:spacing w:after="80"/>
      </w:pPr>
      <w:r>
        <w:rPr>
          <w:b/>
          <w:bCs/>
          <w:color w:val="1a5276"/>
          <w:sz w:val="22"/>
          <w:szCs w:val="22"/>
        </w:rPr>
        <w:t xml:space="preserve">3. Quick Diagnostic Checks</w:t>
      </w:r>
    </w:p>
    <w:p>
      <w:pPr>
        <w:spacing w:after="40"/>
      </w:pPr>
      <w:r>
        <w:rPr>
          <w:sz w:val="19"/>
          <w:szCs w:val="19"/>
        </w:rPr>
        <w:t xml:space="preserve">• sigmoid(0) must be exactly 0.5</w:t>
      </w:r>
    </w:p>
    <w:p>
      <w:pPr>
        <w:spacing w:after="40"/>
      </w:pPr>
      <w:r>
        <w:rPr>
          <w:sz w:val="19"/>
          <w:szCs w:val="19"/>
        </w:rPr>
        <w:t xml:space="preserve">• For z → +∞, g → 1; for z → −∞, g → 0</w:t>
      </w:r>
    </w:p>
    <w:p>
      <w:pPr>
        <w:spacing w:after="40"/>
      </w:pPr>
      <w:r>
        <w:rPr>
          <w:sz w:val="19"/>
          <w:szCs w:val="19"/>
        </w:rPr>
        <w:t xml:space="preserve">• On the tumor toy data with w≈1.8, b≈−5.4 the six predictions at τ=0.5 should match the labels</w:t>
      </w:r>
    </w:p>
    <w:p>
      <w:pPr>
        <w:spacing w:after="120"/>
      </w:pPr>
      <w:r>
        <w:rPr>
          <w:sz w:val="19"/>
          <w:szCs w:val="19"/>
        </w:rPr>
        <w:t xml:space="preserve">• Average loss on a well-separated problem is typically &lt; 0.3; random guessing ≈ 0.693</w:t>
      </w:r>
    </w:p>
    <w:p>
      <w:pPr>
        <w:spacing w:after="80"/>
      </w:pPr>
      <w:r>
        <w:rPr>
          <w:b/>
          <w:bCs/>
          <w:color w:val="1a5276"/>
          <w:sz w:val="22"/>
          <w:szCs w:val="22"/>
        </w:rPr>
        <w:t xml:space="preserve">4. Common Pitfalls &amp; Fixes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Pitfall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Overflow / NaN in exp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np.clip(z, -500, 500) or use scipy.special.expit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log(0) in loss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Clip probabilities to [eps, 1-eps] before log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Using raw probability as label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Always apply an explicit threshold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Ignoring class imbalance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Tune τ or use class weights / resampling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Extrapolating far from training range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Flag out-of-distribution inputs; do not trust the number</w:t>
            </w:r>
          </w:p>
        </w:tc>
      </w:tr>
    </w:tbl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5. Threshold Guidance (quick reference)</w:t>
      </w:r>
    </w:p>
    <w:p>
      <w:pPr>
        <w:spacing w:after="40"/>
      </w:pPr>
      <w:r>
        <w:rPr>
          <w:sz w:val="19"/>
          <w:szCs w:val="19"/>
        </w:rPr>
        <w:t xml:space="preserve">• Lower τ → higher sensitivity (recall), more false positives  → preferred in disease screening</w:t>
      </w:r>
    </w:p>
    <w:p>
      <w:pPr>
        <w:spacing w:after="40"/>
      </w:pPr>
      <w:r>
        <w:rPr>
          <w:sz w:val="19"/>
          <w:szCs w:val="19"/>
        </w:rPr>
        <w:t xml:space="preserve">• Higher τ → higher specificity, fewer false alarms → preferred when false positives are costly (spam, legal)</w:t>
      </w:r>
    </w:p>
    <w:p>
      <w:pPr>
        <w:spacing w:after="120"/>
      </w:pPr>
      <w:r>
        <w:rPr>
          <w:sz w:val="19"/>
          <w:szCs w:val="19"/>
        </w:rPr>
        <w:t xml:space="preserve">• On roughly balanced data the accuracy-maximizing τ is often near 0.5; always verify with a cost matrix</w:t>
      </w:r>
    </w:p>
    <w:p>
      <w:pPr>
        <w:spacing w:after="80"/>
      </w:pPr>
      <w:r>
        <w:rPr>
          <w:b/>
          <w:bCs/>
          <w:color w:val="1a5276"/>
          <w:sz w:val="22"/>
          <w:szCs w:val="22"/>
        </w:rPr>
        <w:t xml:space="preserve">6. Simulation Knobs (in the skeleton notebook)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n, w_true, b_true, threshold, label_noise_frac, z_noise_std</w:t>
      </w:r>
    </w:p>
    <w:p>
      <w:pPr>
        <w:spacing w:after="40"/>
      </w:pPr>
      <w:r>
        <w:rPr>
          <w:sz w:val="19"/>
          <w:szCs w:val="19"/>
        </w:rPr>
        <w:t xml:space="preserve">Change them, re-run the cell, observe accuracy and the probability curve.</w:t>
      </w:r>
    </w:p>
    <w:p>
      <w:pPr>
        <w:spacing w:before="160"/>
      </w:pPr>
      <w:r>
        <w:rPr>
          <w:i/>
          <w:iCs/>
          <w:color w:val="666666"/>
          <w:sz w:val="16"/>
          <w:szCs w:val="16"/>
        </w:rPr>
        <w:t xml:space="preserve">Companion files: Practice_Skeleton.ipynb  ·  Solution.ipynb  ·  Reusable_Template.ipynb  ·  1Page_Summary  ·  Responsible_Use_and_Applications.docx</w:t>
      </w:r>
    </w:p>
    <w:sectPr>
      <w:headerReference w:type="default" r:id="rId7"/>
      <w:footerReference w:type="default" r:id="rId8"/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sz w:val="15"/>
        <w:szCs w:val="15"/>
      </w:rPr>
      <w:t xml:space="preserve">Keep this open while completing the skeleton notebook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6"/>
        <w:szCs w:val="16"/>
      </w:rPr>
      <w:t xml:space="preserve">Sigmoid &amp; Logistic Regression Cheat Sheet — for use with the Practice Skeleton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2026-08-23T23:14:57.883Z</dcterms:created>
  <dcterms:modified xsi:type="dcterms:W3CDTF">2026-08-23T23:14:57.883Z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