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Sigmoid Function &amp; Logistic Regression — Extended Lab</w:t>
      </w: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1-Page Summary Report</w:t>
      </w:r>
    </w:p>
    <w:p>
      <w:pPr>
        <w:spacing w:after="40" w:before="80"/>
      </w:pPr>
      <w:r>
        <w:rPr>
          <w:b/>
          <w:bCs/>
          <w:color w:val="1a5276"/>
          <w:sz w:val="22"/>
          <w:szCs w:val="22"/>
        </w:rPr>
        <w:t xml:space="preserve">Problem Statement</w:t>
      </w:r>
    </w:p>
    <w:p>
      <w:pPr>
        <w:spacing w:after="80"/>
      </w:pPr>
      <w:r>
        <w:rPr>
          <w:sz w:val="18"/>
          <w:szCs w:val="18"/>
        </w:rPr>
        <w:t xml:space="preserve">Binary classification requires mapping unbounded linear scores to probabilities in (0,1) and then to hard labels. The classic Coursera C1_W3 optional lab introduces the sigmoid (logistic) function and its use inside logistic regression on a simple 1-D tumor-size example. Learners need a reproducible, extended practice environment that includes alternate implementations, threshold exploration, Monte-Carlo-style simulation, and clear guidance on what the model can and cannot predict.</w:t>
      </w:r>
    </w:p>
    <w:p>
      <w:pPr>
        <w:spacing w:after="40" w:before="60"/>
      </w:pPr>
      <w:r>
        <w:rPr>
          <w:b/>
          <w:bCs/>
          <w:color w:val="1a5276"/>
          <w:sz w:val="22"/>
          <w:szCs w:val="22"/>
        </w:rPr>
        <w:t xml:space="preserve">Solution Strategy</w:t>
      </w:r>
    </w:p>
    <w:p>
      <w:pPr>
        <w:spacing w:after="60"/>
      </w:pPr>
      <w:r>
        <w:rPr>
          <w:sz w:val="18"/>
          <w:szCs w:val="18"/>
        </w:rPr>
        <w:t xml:space="preserve">1) Implement vectorized sigmoid and the logistic predictor f(x)=g(wx+b). 2) Visualize the S-shaped curve and the 1-D decision surface on the tumor toy data. 3) Provide pure-Python, SciPy-expit and numerically-stable alternates. 4) Add threshold-sensitivity and label-noise simulation cells so parameters can be edited interactively. 5) Supply a reusable template with a tiny gradient-descent fitter and bootstrap evaluation. 6) Document limitations and responsible-use notes tailored to different audience data-literacy levels.</w:t>
      </w:r>
    </w:p>
    <w:p>
      <w:pPr>
        <w:spacing w:after="40" w:before="60"/>
      </w:pPr>
      <w:r>
        <w:rPr>
          <w:b/>
          <w:bCs/>
          <w:color w:val="1a5276"/>
          <w:sz w:val="22"/>
          <w:szCs w:val="22"/>
        </w:rPr>
        <w:t xml:space="preserve">Solution</w:t>
      </w:r>
    </w:p>
    <w:p>
      <w:pPr>
        <w:spacing w:after="40"/>
      </w:pPr>
      <w:r>
        <w:rPr>
          <w:sz w:val="18"/>
          <w:szCs w:val="18"/>
        </w:rPr>
        <w:t xml:space="preserve">Core implementation: g(z)=1/(1+e^{-z}); probabilities for the six-point tumor example with w≈1.8, b≈-5.4 recover the correct labels at τ=0.5. Simulation shows accuracy is maximized near τ=0.5 on balanced data and degrades under label noise. Flowchart and dual-panel overview plots are included below.</w:t>
      </w:r>
    </w:p>
    <w:p>
      <w:pPr>
        <w:spacing w:after="40" w:before="40"/>
        <w:jc w:val="center"/>
      </w:pPr>
      <w:r>
        <w:drawing>
          <wp:inline distT="0" distB="0" distL="0" distR="0">
            <wp:extent cx="4572000" cy="1809750"/>
            <wp:effectExtent t="0" r="0" b="0" l="0"/>
            <wp:docPr id="1" descr="Sigmoid and tumor fit" title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</w:pPr>
      <w:r>
        <w:rPr>
          <w:b/>
          <w:bCs/>
          <w:color w:val="1a5276"/>
          <w:sz w:val="22"/>
          <w:szCs w:val="22"/>
        </w:rPr>
        <w:t xml:space="preserve">Key Takeaways</w:t>
      </w:r>
    </w:p>
    <w:p>
      <w:pPr>
        <w:spacing w:after="20"/>
      </w:pPr>
      <w:r>
        <w:rPr>
          <w:sz w:val="18"/>
          <w:szCs w:val="18"/>
        </w:rPr>
        <w:t xml:space="preserve">• Sigmoid is the essential link between linear scores and probabilities for binary outcomes.</w:t>
      </w:r>
    </w:p>
    <w:p>
      <w:pPr>
        <w:spacing w:after="20"/>
      </w:pPr>
      <w:r>
        <w:rPr>
          <w:sz w:val="18"/>
          <w:szCs w:val="18"/>
        </w:rPr>
        <w:t xml:space="preserve">• Threshold choice is a business / ethical decision, not a purely statistical one; lower τ increases sensitivity.</w:t>
      </w:r>
    </w:p>
    <w:p>
      <w:pPr>
        <w:spacing w:after="20"/>
      </w:pPr>
      <w:r>
        <w:rPr>
          <w:sz w:val="18"/>
          <w:szCs w:val="18"/>
        </w:rPr>
        <w:t xml:space="preserve">• The basic model yields linear decision boundaries in feature space and cannot claim causality or multi-class outputs without extension.</w:t>
      </w:r>
    </w:p>
    <w:p>
      <w:pPr>
        <w:spacing w:after="20"/>
      </w:pPr>
      <w:r>
        <w:rPr>
          <w:sz w:val="18"/>
          <w:szCs w:val="18"/>
        </w:rPr>
        <w:t xml:space="preserve">• Always validate, monitor drift, and adapt communication to the audience’s data literacy and subject knowledge.</w:t>
      </w:r>
    </w:p>
    <w:p>
      <w:pPr>
        <w:spacing w:before="40"/>
      </w:pPr>
      <w:r>
        <w:rPr>
          <w:i/>
          <w:iCs/>
          <w:color w:val="666666"/>
          <w:sz w:val="16"/>
          <w:szCs w:val="16"/>
        </w:rPr>
        <w:t xml:space="preserve">Artifacts: Practice_Skeleton.ipynb · Solution.ipynb · Reusable_Template.ipynb · Cheatsheet · Responsible_Use_and_Applications.docx · flowchart &amp; simulation PNGs</w:t>
      </w:r>
    </w:p>
    <w:sectPr>
      <w:pgSz w:w="12240" w:h="15840" w:orient="portrait"/>
      <w:pgMar w:top="504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66cbe820393ef4bce88d09314dd0ac0f296df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2026-08-23T23:13:16.957Z</dcterms:created>
  <dcterms:modified xsi:type="dcterms:W3CDTF">2026-08-23T23:13:16.957Z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