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Strategy Guide: When &amp; How to Use This Extended Lab</w:t>
      </w:r>
    </w:p>
    <w:p>
      <w:pPr>
        <w:spacing w:after="100"/>
      </w:pPr>
      <w:r>
        <w:rPr>
          <w:b/>
          <w:bCs/>
          <w:color w:val="1a5276"/>
          <w:sz w:val="22"/>
          <w:szCs w:val="22"/>
        </w:rPr>
        <w:t xml:space="preserve">Recommended for</w:t>
      </w:r>
    </w:p>
    <w:p>
      <w:pPr>
        <w:spacing w:after="40"/>
      </w:pPr>
      <w:r>
        <w:rPr>
          <w:sz w:val="19"/>
          <w:szCs w:val="19"/>
        </w:rPr>
        <w:t xml:space="preserve">• Learners who have just seen the linear-regression model and are moving to classification.</w:t>
      </w:r>
    </w:p>
    <w:p>
      <w:pPr>
        <w:spacing w:after="40"/>
      </w:pPr>
      <w:r>
        <w:rPr>
          <w:sz w:val="19"/>
          <w:szCs w:val="19"/>
        </w:rPr>
        <w:t xml:space="preserve">• Anyone who needs a self-contained, notebook-first introduction to the sigmoid without external course utilities.</w:t>
      </w:r>
    </w:p>
    <w:p>
      <w:pPr>
        <w:spacing w:after="40"/>
      </w:pPr>
      <w:r>
        <w:rPr>
          <w:sz w:val="19"/>
          <w:szCs w:val="19"/>
        </w:rPr>
        <w:t xml:space="preserve">• Instructors who want ready-made skeleton / solution pairs plus audience-adapted responsible-use material.</w:t>
      </w:r>
    </w:p>
    <w:p>
      <w:pPr>
        <w:spacing w:after="120"/>
      </w:pPr>
      <w:r>
        <w:rPr>
          <w:sz w:val="19"/>
          <w:szCs w:val="19"/>
        </w:rPr>
        <w:t xml:space="preserve">• Practitioners building a first binary classifier who want a transparent, educational implementation before switching to scikit-learn or similar.</w:t>
      </w:r>
    </w:p>
    <w:p>
      <w:pPr>
        <w:spacing w:after="100"/>
      </w:pPr>
      <w:r>
        <w:rPr>
          <w:b/>
          <w:bCs/>
          <w:color w:val="1a5276"/>
          <w:sz w:val="22"/>
          <w:szCs w:val="22"/>
        </w:rPr>
        <w:t xml:space="preserve">Not recommended / insufficient alone for</w:t>
      </w:r>
    </w:p>
    <w:p>
      <w:pPr>
        <w:spacing w:after="40"/>
      </w:pPr>
      <w:r>
        <w:rPr>
          <w:sz w:val="19"/>
          <w:szCs w:val="19"/>
        </w:rPr>
        <w:t xml:space="preserve">• Production multi-class or highly non-linear problems (use modern libraries + feature engineering or neural nets).</w:t>
      </w:r>
    </w:p>
    <w:p>
      <w:pPr>
        <w:spacing w:after="40"/>
      </w:pPr>
      <w:r>
        <w:rPr>
          <w:sz w:val="19"/>
          <w:szCs w:val="19"/>
        </w:rPr>
        <w:t xml:space="preserve">• Causal inference questions (requires experimental design or specialized identification strategies).</w:t>
      </w:r>
    </w:p>
    <w:p>
      <w:pPr>
        <w:spacing w:after="120"/>
      </w:pPr>
      <w:r>
        <w:rPr>
          <w:sz w:val="19"/>
          <w:szCs w:val="19"/>
        </w:rPr>
        <w:t xml:space="preserve">• Situations that demand calibrated probabilities out of the box without additional post-processing.</w:t>
      </w:r>
    </w:p>
    <w:p>
      <w:pPr>
        <w:spacing w:after="100"/>
      </w:pPr>
      <w:r>
        <w:rPr>
          <w:b/>
          <w:bCs/>
          <w:color w:val="1a5276"/>
          <w:sz w:val="22"/>
          <w:szCs w:val="22"/>
        </w:rPr>
        <w:t xml:space="preserve">Suggested classroom / self-study flow</w:t>
      </w:r>
    </w:p>
    <w:p>
      <w:pPr>
        <w:spacing w:after="40"/>
      </w:pPr>
      <w:r>
        <w:rPr>
          <w:sz w:val="19"/>
          <w:szCs w:val="19"/>
        </w:rPr>
        <w:t xml:space="preserve">1. Students receive only the Practice Skeleton + Cheatsheet.</w:t>
      </w:r>
    </w:p>
    <w:p>
      <w:pPr>
        <w:spacing w:after="40"/>
      </w:pPr>
      <w:r>
        <w:rPr>
          <w:sz w:val="19"/>
          <w:szCs w:val="19"/>
        </w:rPr>
        <w:t xml:space="preserve">2. They implement sigmoid, visualize, build the tumor predictor, try alternates and the simulation.</w:t>
      </w:r>
    </w:p>
    <w:p>
      <w:pPr>
        <w:spacing w:after="40"/>
      </w:pPr>
      <w:r>
        <w:rPr>
          <w:sz w:val="19"/>
          <w:szCs w:val="19"/>
        </w:rPr>
        <w:t xml:space="preserve">3. Compare with the Solution notebook; discuss threshold ethics.</w:t>
      </w:r>
    </w:p>
    <w:p>
      <w:pPr>
        <w:spacing w:after="40"/>
      </w:pPr>
      <w:r>
        <w:rPr>
          <w:sz w:val="19"/>
          <w:szCs w:val="19"/>
        </w:rPr>
        <w:t xml:space="preserve">4. Read the Responsible_Use document (or selected sections) adapted to the audience present.</w:t>
      </w:r>
    </w:p>
    <w:p>
      <w:pPr>
        <w:spacing w:after="120"/>
      </w:pPr>
      <w:r>
        <w:rPr>
          <w:sz w:val="19"/>
          <w:szCs w:val="19"/>
        </w:rPr>
        <w:t xml:space="preserve">5. Apply the Reusable Template to a new small binary dataset of their choice.</w:t>
      </w:r>
    </w:p>
    <w:p>
      <w:pPr>
        <w:spacing w:after="100"/>
      </w:pPr>
      <w:r>
        <w:rPr>
          <w:b/>
          <w:bCs/>
          <w:color w:val="1a5276"/>
          <w:sz w:val="22"/>
          <w:szCs w:val="22"/>
        </w:rPr>
        <w:t xml:space="preserve">Adaptation notes from the attached audience PDFs</w:t>
      </w:r>
    </w:p>
    <w:p>
      <w:pPr>
        <w:spacing w:after="40"/>
      </w:pPr>
      <w:r>
        <w:rPr>
          <w:sz w:val="19"/>
          <w:szCs w:val="19"/>
        </w:rPr>
        <w:t xml:space="preserve">• High data-literacy audience: keep the math, show the derivative, discuss numerical stability and the loss surface.</w:t>
      </w:r>
    </w:p>
    <w:p>
      <w:pPr>
        <w:spacing w:after="40"/>
      </w:pPr>
      <w:r>
        <w:rPr>
          <w:sz w:val="19"/>
          <w:szCs w:val="19"/>
        </w:rPr>
        <w:t xml:space="preserve">• Low data-literacy / nonspecialist: emphasize the S-shaped “soft step” idea, use frequency language, hide most formulas behind the cheat sheet.</w:t>
      </w:r>
    </w:p>
    <w:p>
      <w:pPr>
        <w:spacing w:after="40"/>
      </w:pPr>
      <w:r>
        <w:rPr>
          <w:sz w:val="19"/>
          <w:szCs w:val="19"/>
        </w:rPr>
        <w:t xml:space="preserve">• Subject-matter experts (e.g., clinicians): skip basic probability refreshers; focus on threshold choice and calibration.</w:t>
      </w:r>
    </w:p>
    <w:p>
      <w:pPr>
        <w:spacing w:after="120"/>
      </w:pPr>
      <w:r>
        <w:rPr>
          <w:sz w:val="19"/>
          <w:szCs w:val="19"/>
        </w:rPr>
        <w:t xml:space="preserve">• Mixed audiences: structure the 1-page report and the Responsible_Use doc with clear sign-posting so each reader can skim to the depth they need (as recommended in the data-analysis report structure guide).</w:t>
      </w:r>
    </w:p>
    <w:p>
      <w:pPr>
        <w:spacing w:after="100"/>
      </w:pPr>
      <w:r>
        <w:rPr>
          <w:b/>
          <w:bCs/>
          <w:color w:val="1a5276"/>
          <w:sz w:val="22"/>
          <w:szCs w:val="22"/>
        </w:rPr>
        <w:t xml:space="preserve">File inventory</w:t>
      </w:r>
    </w:p>
    <w:p>
      <w:pPr>
        <w:spacing w:after="30"/>
      </w:pPr>
      <w:r>
        <w:rPr>
          <w:sz w:val="18"/>
          <w:szCs w:val="18"/>
        </w:rPr>
        <w:t xml:space="preserve">Sigmoid_Logistic_Regression_Practice_Skeleton.ipynb</w:t>
      </w:r>
    </w:p>
    <w:p>
      <w:pPr>
        <w:spacing w:after="30"/>
      </w:pPr>
      <w:r>
        <w:rPr>
          <w:sz w:val="18"/>
          <w:szCs w:val="18"/>
        </w:rPr>
        <w:t xml:space="preserve">Sigmoid_Logistic_Regression_Solution.ipynb</w:t>
      </w:r>
    </w:p>
    <w:p>
      <w:pPr>
        <w:spacing w:after="30"/>
      </w:pPr>
      <w:r>
        <w:rPr>
          <w:sz w:val="18"/>
          <w:szCs w:val="18"/>
        </w:rPr>
        <w:t xml:space="preserve">Logistic_Regression_Sigmoid_Reusable_Template.ipynb</w:t>
      </w:r>
    </w:p>
    <w:p>
      <w:pPr>
        <w:spacing w:after="30"/>
      </w:pPr>
      <w:r>
        <w:rPr>
          <w:sz w:val="18"/>
          <w:szCs w:val="18"/>
        </w:rPr>
        <w:t xml:space="preserve">Sigmoid_Logistic_Regression_1Page_Summary_Report.docx</w:t>
      </w:r>
    </w:p>
    <w:p>
      <w:pPr>
        <w:spacing w:after="30"/>
      </w:pPr>
      <w:r>
        <w:rPr>
          <w:sz w:val="18"/>
          <w:szCs w:val="18"/>
        </w:rPr>
        <w:t xml:space="preserve">Sigmoid_Logistic_Regression_Cheatsheet.docx</w:t>
      </w:r>
    </w:p>
    <w:p>
      <w:pPr>
        <w:spacing w:after="30"/>
      </w:pPr>
      <w:r>
        <w:rPr>
          <w:sz w:val="18"/>
          <w:szCs w:val="18"/>
        </w:rPr>
        <w:t xml:space="preserve">Sigmoid_Logistic_Regression_Responsible_Use_and_Applications.docx</w:t>
      </w:r>
    </w:p>
    <w:p>
      <w:pPr>
        <w:spacing w:after="30"/>
      </w:pPr>
      <w:r>
        <w:rPr>
          <w:sz w:val="18"/>
          <w:szCs w:val="18"/>
        </w:rPr>
        <w:t xml:space="preserve">Sigmoid_Logistic_Regression_Strategy_Guide.docx (this file)</w:t>
      </w:r>
    </w:p>
    <w:p>
      <w:pPr>
        <w:spacing w:after="30"/>
      </w:pPr>
      <w:r>
        <w:rPr>
          <w:sz w:val="18"/>
          <w:szCs w:val="18"/>
        </w:rPr>
        <w:t xml:space="preserve">logistic_sigmoid_flowchart.png + supporting simulation PNGs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6"/>
        <w:szCs w:val="16"/>
      </w:rPr>
      <w:t xml:space="preserve">Strategy Guide — Sigmoid / Logistic Regression Extended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2026-08-23T23:15:25.996Z</dcterms:created>
  <dcterms:modified xsi:type="dcterms:W3CDTF">2026-08-23T23:15:25.996Z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