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Responsible Use of Sklearn SGD Linear Regression</w:t>
      </w:r>
    </w:p>
    <w:p>
      <w:pPr>
        <w:spacing w:after="20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What the model can and cannot predict • Limitations &amp; constraints • Top-10 project ideas • Audience-aware communication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 What This Model Can Predict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Linear (or approximately linear) relationships between numeric features and a continuous target inside the range of the training data.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Relative importance of features after z-score scaling (larger |coefficient| ≈ stronger linear association).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Fast, memory-efficient updates on large or streaming data (the main advantage of SGD over closed-form OLS).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Regularized solutions (L1 / L2 / elastic-net) that can perform automatic feature selection or shrink noisy coefficients.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Useful baseline or first-cut forecasts when domain knowledge already suggests roughly linear effects.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 What This Model Cannot Predict (or Should Not Be Asked To)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Strong non-linear patterns or interactions unless you deliberately engineer those features (polynomials, products, bins).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Causal effects (“if I add one bedroom the price will rise by $X”). Observational coefficients are associational only.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Reliable predictions far outside the convex hull of the training features (extrapolation risk is high).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Calibrated probabilistic forecasts or full posterior uncertainty without additional residual modelling or Bayesian methods.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Automatic handling of missing values, pure categorical variables, or severe multicollinearity diagnostics.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 Limitations &amp; Practical Constraints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Linearity assumption – residual plots must be inspected; systematic curvature signals model misspecification.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Scale sensitivity – forgetting StandardScaler (or fitting it on the full dataset) produces silent failures or leakage.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Stochasticity – different random seeds or data order can yield slightly different coefficients; report ranges or use averaging.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Sample-size &amp; noise dependence – Monte-Carlo simulations in the lab show R² collapses and variance explodes under high noise or tiny n.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No built-in fairness or subgroup analysis – residual checks by protected attributes are the analyst’s responsibility.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0"/>
          <w:szCs w:val="20"/>
        </w:rPr>
        <w:t xml:space="preserve">Interpretability of normalized coefficients – they are not “dollars per bedroom”; convert carefully or present relative rankings only.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 How to Use the Model Responsibly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Always publish residual diagnostics and the training-data envelope alongside R² / RMSE.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Wrap scaler + estimator in a sklearn Pipeline so production inference cannot forget scaling.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Document the exact feature definitions and the date range / geography of the training sample.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For high-stakes decisions (credit, pricing, public policy) treat the model as one input among many; require human review.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Adapt the narrative to the audience (see section 6 and the attached audience PDFs).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0"/>
          <w:szCs w:val="20"/>
        </w:rPr>
        <w:t xml:space="preserve">Prefer reporting prediction intervals or at least RMSE bands rather than single-point forecasts when communicating risk.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 Top 10 Project Ideas That Can Use This Pattern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Each idea assumes numeric predictors, a continuous target, and the same StandardScaler + SGDRegressor (or LinearRegression) pipeline taught in the lab.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Residential or commercial real-estate valuation (the lab itself).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Energy-consumption forecasting from weather, occupancy and building characteristics.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Demand / sales forecasting from price, promotions, seasonality indices and competitor metrics.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Hospital length-of-stay or cost prediction from patient demographics and procedure codes (carefully de-identified).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Crop-yield modelling from soil, weather and fertilizer features.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Used-vehicle price estimation from mileage, age, engine size and option packages.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Cloud or infrastructure cost forecasting from CPU, memory, network and storage telemetry.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Employee compensation benchmarking from role, experience, location and performance scores.</w:t>
      </w:r>
    </w:p>
    <w:p>
      <w:pPr>
        <w:pStyle w:val="ListParagraph"/>
        <w:numPr>
          <w:ilvl w:val="0"/>
          <w:numId w:val="6"/>
        </w:numPr>
      </w:pPr>
      <w:r>
        <w:rPr>
          <w:sz w:val="20"/>
          <w:szCs w:val="20"/>
        </w:rPr>
        <w:t xml:space="preserve">Insurance pure-premium modelling (frequency × severity) as a first linear baseline before GLMs or GBMs.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sz w:val="20"/>
          <w:szCs w:val="20"/>
        </w:rPr>
        <w:t xml:space="preserve">Environmental / air-quality index prediction from traffic, industrial and meteorological sensors.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 Audience Adaptation (from the supplied PDFs)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Data-literate / technical audience (engineers, analysts): keep coefficients, R², residual plots, Pipeline code, and the Monte-Carlo sensitivity results. They understand z-scores and can spot multicollinearity.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Executives / decision-makers: lead with the business headline (“model explains 96 % of price variation; typical error ±$21 k”), one or two clear charts, and the concrete action implication. Avoid jargon such as “normalized coefficient” or “peak-to-peak”.</w:t>
      </w:r>
    </w:p>
    <w:p>
      <w:pPr>
        <w:spacing w:after="6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Non-specialists / mixed audiences: use plain analogies (“larger houses cost more, older houses cost less”), highlight the insight rather than the method, and state the limits in everyday language (“this is a useful rule of thumb for houses similar to the ones we studied; it is not a guarantee for any individual property”).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Subject-matter experts (real-estate appraisers, credit officers): they already know the domain abbreviations and preferred visual conventions; skip lengthy introductions, show diagnostics that matter to them (residual by neighbourhood or by price band), and be ready for questions about tiny inaccuracies.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 Quick Decision Checklist Before Deployment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☐ Residual vs fitted plot inspected  ☐ Training support documented  ☐ Pipeline used for inference  ☐ Audience language adapted  ☐ Uncertainty or RMSE communicated  ☐ High-stakes decisions still require human review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This document accompanies the extended lab notebooks and the 1-page summary report. It is intended to turn the vague advice “consider the audience” and “use the model responsibly” into concrete, checklist-style guidance.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Companion to Sklearn GD Linear Regression Extended Lab  •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Responsible Use of Linear SGD Models  |  Applications, Limits &amp; Constraints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2026-08-23T21:36:29.002Z</dcterms:created>
  <dcterms:modified xsi:type="dcterms:W3CDTF">2026-08-23T21:36:29.003Z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