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222222"/>
          <w:sz w:val="28"/>
          <w:szCs w:val="28"/>
        </w:rPr>
        <w:t xml:space="preserve">Strategy Guide: Building Extended Labs around Sklearn SGD / Linear Regression</w:t>
      </w:r>
    </w:p>
    <w:p>
      <w:pPr>
        <w:spacing w:after="60" w:before="0"/>
      </w:pPr>
      <w:r>
        <w:rPr>
          <w:b/>
          <w:bCs/>
          <w:color w:val="1F4E79"/>
          <w:sz w:val="22"/>
          <w:szCs w:val="22"/>
        </w:rPr>
        <w:t xml:space="preserve">Purpose of this pattern</w:t>
      </w:r>
    </w:p>
    <w:p>
      <w:pPr>
        <w:spacing w:after="120" w:before="0"/>
      </w:pPr>
      <w:r>
        <w:rPr>
          <w:color w:val="222222"/>
          <w:sz w:val="20"/>
          <w:szCs w:val="20"/>
        </w:rPr>
        <w:t xml:space="preserve">The original Coursera optional lab demonstrates StandardScaler + SGDRegressor on a small housing data set. The extended package turns that single demonstration into a complete practice–solution pair, adds alternates, a Monte-Carlo simulation, a reusable template, audience-adapted documentation, and an explicit responsible-use discussion. The same structure can be reused for any multi-feature continuous regression task.</w:t>
      </w:r>
    </w:p>
    <w:p>
      <w:pPr>
        <w:spacing w:after="60" w:before="0"/>
      </w:pPr>
      <w:r>
        <w:rPr>
          <w:b/>
          <w:bCs/>
          <w:color w:val="1F4E79"/>
          <w:sz w:val="22"/>
          <w:szCs w:val="22"/>
        </w:rPr>
        <w:t xml:space="preserve">Recommended when</w:t>
      </w:r>
    </w:p>
    <w:p>
      <w:pPr>
        <w:spacing w:after="120" w:before="0"/>
      </w:pPr>
      <w:r>
        <w:rPr>
          <w:color w:val="222222"/>
          <w:sz w:val="20"/>
          <w:szCs w:val="20"/>
        </w:rPr>
        <w:t xml:space="preserve">• You need learners to experience both iterative (SGD) and closed-form (OLS) solvers side-by-side.
• Feature scales differ dramatically and students must internalize why scaling matters.
• You want to teach production hygiene (Pipeline) and sensitivity analysis early.
• Stakeholders include mixed audiences (technical, executive, non-specialist).</w:t>
      </w:r>
    </w:p>
    <w:p>
      <w:pPr>
        <w:spacing w:after="60" w:before="0"/>
      </w:pPr>
      <w:r>
        <w:rPr>
          <w:b/>
          <w:bCs/>
          <w:color w:val="1F4E79"/>
          <w:sz w:val="22"/>
          <w:szCs w:val="22"/>
        </w:rPr>
        <w:t xml:space="preserve">Not recommended when</w:t>
      </w:r>
    </w:p>
    <w:p>
      <w:pPr>
        <w:spacing w:after="120" w:before="0"/>
      </w:pPr>
      <w:r>
        <w:rPr>
          <w:color w:val="222222"/>
          <w:sz w:val="20"/>
          <w:szCs w:val="20"/>
        </w:rPr>
        <w:t xml:space="preserve">• The relationship is known to be strongly non-linear and feature engineering is out of scope.
• The primary goal is causal inference rather than prediction.
• Data are purely categorical or contain massive missingness that would dominate the lesson.</w:t>
      </w:r>
    </w:p>
    <w:p>
      <w:pPr>
        <w:spacing w:after="60" w:before="0"/>
      </w:pPr>
      <w:r>
        <w:rPr>
          <w:b/>
          <w:bCs/>
          <w:color w:val="1F4E79"/>
          <w:sz w:val="22"/>
          <w:szCs w:val="22"/>
        </w:rPr>
        <w:t xml:space="preserve">File inventory produced by this pattern</w:t>
      </w:r>
    </w:p>
    <w:p>
      <w:pPr>
        <w:spacing w:after="120" w:before="0"/>
      </w:pPr>
      <w:r>
        <w:rPr>
          <w:color w:val="222222"/>
          <w:sz w:val="20"/>
          <w:szCs w:val="20"/>
        </w:rPr>
        <w:t xml:space="preserve">Practice_Skeleton.ipynb – step-by-step TODOs + embedded cheat sheet + flowchart reference
Solution.ipynb – complete working code, alternates, simulation, reflection
Reusable_Template.ipynb – minimal production skeleton for new projects
1Page_Summary_Report.docx – fixed structure (Problem / Strategy / Solution / Takeaways)
Cheatsheet.docx – API table + pitfalls + audience phrases
Responsible_Use_and_Applications.docx – can/cannot, limits, top-10 ideas, audience notes
Flowchart + result/simulation PNGs – visual anchors for reports and notebooks</w:t>
      </w:r>
    </w:p>
    <w:p>
      <w:pPr>
        <w:spacing w:after="60" w:before="0"/>
      </w:pPr>
      <w:r>
        <w:rPr>
          <w:b/>
          <w:bCs/>
          <w:color w:val="1F4E79"/>
          <w:sz w:val="22"/>
          <w:szCs w:val="22"/>
        </w:rPr>
        <w:t xml:space="preserve">Audience adaptation checklist (drawn from the supplied PDFs)</w:t>
      </w:r>
    </w:p>
    <w:p>
      <w:pPr>
        <w:spacing w:after="80" w:before="0"/>
      </w:pPr>
      <w:r>
        <w:rPr>
          <w:color w:val="222222"/>
          <w:sz w:val="20"/>
          <w:szCs w:val="20"/>
        </w:rPr>
        <w:t xml:space="preserve">1. Data literacy – choose chart types and statistical vocabulary accordingly.
2. Subject knowledge – skip or expand introductions and abbreviations.
3. Mixed audiences – use clear section headings so each reader can skip what they do not need.
4. Situation – document the decision context in which the model will be used.</w:t>
      </w:r>
    </w:p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Strategy Guide – Extending Sklearn SGD Linear Regression Labs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2026-08-23T21:36:53.777Z</dcterms:created>
  <dcterms:modified xsi:type="dcterms:W3CDTF">2026-08-23T21:36:53.777Z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