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E2761"/>
          <w:sz w:val="36"/>
          <w:szCs w:val="36"/>
        </w:rPr>
        <w:t xml:space="preserve">MEMORANDUM</w:t>
      </w:r>
    </w:p>
    <w:p>
      <w:pPr>
        <w:pBdr>
          <w:bottom w:val="single" w:color="CADCFC" w:sz="12" w:space="8"/>
        </w:pBdr>
        <w:spacing w:after="220"/>
      </w:pPr>
      <w:r>
        <w:t xml:space="preserve"/>
      </w:r>
    </w:p>
    <w:p>
      <w:pPr>
        <w:spacing w:after="60"/>
      </w:pPr>
      <w:r>
        <w:rPr>
          <w:b/>
          <w:bCs/>
          <w:color w:val="1E2761"/>
          <w:sz w:val="21"/>
          <w:szCs w:val="21"/>
        </w:rPr>
        <w:t xml:space="preserve">To: </w:t>
      </w:r>
      <w:r>
        <w:rPr>
          <w:color w:val="222222"/>
          <w:sz w:val="21"/>
          <w:szCs w:val="21"/>
        </w:rPr>
        <w:t xml:space="preserve">Restaurant Client Portfolio / Consulting Leadership Team</w:t>
      </w:r>
    </w:p>
    <w:p>
      <w:pPr>
        <w:spacing w:after="60"/>
      </w:pPr>
      <w:r>
        <w:rPr>
          <w:b/>
          <w:bCs/>
          <w:color w:val="1E2761"/>
          <w:sz w:val="21"/>
          <w:szCs w:val="21"/>
        </w:rPr>
        <w:t xml:space="preserve">From: </w:t>
      </w:r>
      <w:r>
        <w:rPr>
          <w:color w:val="222222"/>
          <w:sz w:val="21"/>
          <w:szCs w:val="21"/>
        </w:rPr>
        <w:t xml:space="preserve">Data Analytics Team</w:t>
      </w:r>
    </w:p>
    <w:p>
      <w:pPr>
        <w:spacing w:after="60"/>
      </w:pPr>
      <w:r>
        <w:rPr>
          <w:b/>
          <w:bCs/>
          <w:color w:val="1E2761"/>
          <w:sz w:val="21"/>
          <w:szCs w:val="21"/>
        </w:rPr>
        <w:t xml:space="preserve">Date: </w:t>
      </w:r>
      <w:r>
        <w:rPr>
          <w:color w:val="222222"/>
          <w:sz w:val="21"/>
          <w:szCs w:val="21"/>
        </w:rPr>
        <w:t xml:space="preserve">August 17, 2026</w:t>
      </w:r>
    </w:p>
    <w:p>
      <w:pPr>
        <w:spacing w:after="60"/>
      </w:pPr>
      <w:r>
        <w:rPr>
          <w:b/>
          <w:bCs/>
          <w:color w:val="1E2761"/>
          <w:sz w:val="21"/>
          <w:szCs w:val="21"/>
        </w:rPr>
        <w:t xml:space="preserve">Re: </w:t>
      </w:r>
      <w:r>
        <w:rPr>
          <w:color w:val="222222"/>
          <w:sz w:val="21"/>
          <w:szCs w:val="21"/>
        </w:rPr>
        <w:t xml:space="preserve">Findings — Relationship Between Restaurant Characteristics and NYC Health Inspection Performance</w:t>
      </w:r>
    </w:p>
    <w:p>
      <w:pPr>
        <w:pStyle w:val="Heading2"/>
        <w:spacing w:after="120" w:before="280"/>
      </w:pPr>
      <w:r>
        <w:rPr>
          <w:b/>
          <w:bCs/>
          <w:color w:val="1E2761"/>
          <w:sz w:val="24"/>
          <w:szCs w:val="24"/>
        </w:rPr>
        <w:t xml:space="preserve">Purpose</w:t>
      </w:r>
    </w:p>
    <w:p>
      <w:pPr>
        <w:spacing w:after="140"/>
        <w:jc w:val="both"/>
      </w:pPr>
      <w:r>
        <w:rPr>
          <w:color w:val="222222"/>
          <w:sz w:val="21"/>
          <w:szCs w:val="21"/>
        </w:rPr>
        <w:t xml:space="preserve">This memo summarizes the results of an analysis undertaken to help our restaurant-industry clients understand how cuisine type, price level, and inspection type relate to health inspection outcomes in New York City. The goal is to give clients concrete, data-backed guidance on where to focus compliance efforts.</w:t>
      </w:r>
    </w:p>
    <w:p>
      <w:pPr>
        <w:pStyle w:val="Heading2"/>
        <w:spacing w:after="120" w:before="280"/>
      </w:pPr>
      <w:r>
        <w:rPr>
          <w:b/>
          <w:bCs/>
          <w:color w:val="1E2761"/>
          <w:sz w:val="24"/>
          <w:szCs w:val="24"/>
        </w:rPr>
        <w:t xml:space="preserve">Background &amp; Method</w:t>
      </w:r>
    </w:p>
    <w:p>
      <w:pPr>
        <w:spacing w:after="140"/>
        <w:jc w:val="both"/>
      </w:pPr>
      <w:r>
        <w:rPr>
          <w:color w:val="222222"/>
          <w:sz w:val="21"/>
          <w:szCs w:val="21"/>
        </w:rPr>
        <w:t xml:space="preserve">We combined two data sources covering the second half of 2024: (1) NYC Department of Health restaurant inspection records, including scores, grades, violation codes, and inspection type; and (2) a restaurant ratings and business-information dataset collected via a public API, including price level and user ratings. After standardizing restaurant names, extracting and validating ZIP codes, and converting price-level symbols to a numeric scale, both datasets were loaded into a SQL database and joined on restaurant name and ZIP code so scores and violations could be analyzed alongside pricing and customer ratings.</w:t>
      </w:r>
    </w:p>
    <w:p>
      <w:pPr>
        <w:pStyle w:val="Heading2"/>
        <w:spacing w:after="120" w:before="280"/>
      </w:pPr>
      <w:r>
        <w:rPr>
          <w:b/>
          <w:bCs/>
          <w:color w:val="1E2761"/>
          <w:sz w:val="24"/>
          <w:szCs w:val="24"/>
        </w:rPr>
        <w:t xml:space="preserve">Key Findings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222222"/>
          <w:sz w:val="21"/>
          <w:szCs w:val="21"/>
        </w:rPr>
        <w:t xml:space="preserve">Cuisine type is associated with meaningfully different average inspection scores — some cuisines cluster in the higher-risk (higher score / lower grade) range more than others, indicating cuisine-specific operational risk factors worth flagging to clients in those categories.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222222"/>
          <w:sz w:val="21"/>
          <w:szCs w:val="21"/>
        </w:rPr>
        <w:t xml:space="preserve">Price level does not straightforwardly predict better health compliance. Boxplot comparisons across price tiers show overlapping score distributions rather than a clean "higher price = better score" trend, suggesting operational discipline matters more than price positioning.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222222"/>
          <w:sz w:val="21"/>
          <w:szCs w:val="21"/>
        </w:rPr>
        <w:t xml:space="preserve">Pass rates vary substantially by inspection type. Some inspection programs show notably higher pass rates than others, meaning clients should tailor their pre-inspection preparation checklist to the specific inspection type they are about to undergo rather than using one generic playbook.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222222"/>
          <w:sz w:val="21"/>
          <w:szCs w:val="21"/>
        </w:rPr>
        <w:t xml:space="preserve">Geographic patterns emerged when mapping average score and average customer rating by ZIP code, with several neighborhoods showing better inspection performance and higher customer ratings together — a signal that operational quality and customer perception move together in some markets.</w:t>
      </w:r>
    </w:p>
    <w:p>
      <w:pPr>
        <w:pStyle w:val="Heading2"/>
        <w:spacing w:after="120" w:before="280"/>
      </w:pPr>
      <w:r>
        <w:rPr>
          <w:b/>
          <w:bCs/>
          <w:color w:val="1E2761"/>
          <w:sz w:val="24"/>
          <w:szCs w:val="24"/>
        </w:rPr>
        <w:t xml:space="preserve">Recommendations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222222"/>
          <w:sz w:val="21"/>
          <w:szCs w:val="21"/>
        </w:rPr>
        <w:t xml:space="preserve">Segment client advisory materials by cuisine type, giving higher-risk cuisines a more rigorous pre-inspection checklist.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222222"/>
          <w:sz w:val="21"/>
          <w:szCs w:val="21"/>
        </w:rPr>
        <w:t xml:space="preserve">Avoid assuming premium pricing offsets inspection risk — continue to audit high-price clients with the same rigor as lower-price clients.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222222"/>
          <w:sz w:val="21"/>
          <w:szCs w:val="21"/>
        </w:rPr>
        <w:t xml:space="preserve">Build inspection-type-specific prep guides using the pass-rate findings, prioritizing the lowest pass-rate inspection types first.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222222"/>
          <w:sz w:val="21"/>
          <w:szCs w:val="21"/>
        </w:rPr>
        <w:t xml:space="preserve">Use the ZIP-code-level view to identify neighborhoods where a client's competitors are outperforming on both compliance and ratings, as a benchmarking tool in client conversations.</w:t>
      </w:r>
    </w:p>
    <w:p>
      <w:pPr>
        <w:pStyle w:val="Heading2"/>
        <w:spacing w:after="120" w:before="280"/>
      </w:pPr>
      <w:r>
        <w:rPr>
          <w:b/>
          <w:bCs/>
          <w:color w:val="1E2761"/>
          <w:sz w:val="24"/>
          <w:szCs w:val="24"/>
        </w:rPr>
        <w:t xml:space="preserve">Next Steps</w:t>
      </w:r>
    </w:p>
    <w:p>
      <w:pPr>
        <w:spacing w:after="140"/>
        <w:jc w:val="both"/>
      </w:pPr>
      <w:r>
        <w:rPr>
          <w:color w:val="222222"/>
          <w:sz w:val="21"/>
          <w:szCs w:val="21"/>
        </w:rPr>
        <w:t xml:space="preserve">We recommend extending this analysis with a full calendar year of inspection data to confirm these patterns are not seasonal, and adding violation-code-level detail so recommendations can point to specific corrective actions rather than aggregate scores. We are also available to build a lightweight internal dashboard so account teams can pull these cuts on demand for any client conversation.</w:t>
      </w:r>
    </w:p>
    <w:p>
      <w:pPr>
        <w:spacing w:before="260"/>
      </w:pPr>
      <w:r>
        <w:rPr>
          <w:i/>
          <w:iCs/>
          <w:color w:val="595959"/>
          <w:sz w:val="18"/>
          <w:szCs w:val="18"/>
        </w:rPr>
        <w:t xml:space="preserve">Prepared using the C4 Capstone: NYC Restaurant Inspections analysis pipeline.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  <w:rPr>
        <w:color w:val="2F3C7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2026-08-18T04:45:21.401Z</dcterms:created>
  <dcterms:modified xsi:type="dcterms:W3CDTF">2026-08-18T04:45:21.402Z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