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1B365D"/>
          <w:sz w:val="48"/>
        </w:rPr>
        <w:t>Executive Summary: Causal Inference for Data Science</w:t>
      </w:r>
    </w:p>
    <w:p>
      <w:pPr>
        <w:spacing w:before="0" w:after="360"/>
      </w:pPr>
      <w:r>
        <w:rPr>
          <w:rFonts w:ascii="Calibri" w:hAnsi="Calibri"/>
          <w:i/>
          <w:color w:val="4A777A"/>
          <w:sz w:val="28"/>
        </w:rPr>
        <w:t>Chapter 1: Introducing Causality — Core Principles, Frameworks, and Practical Applications</w:t>
      </w:r>
    </w:p>
    <w:p>
      <w:pPr>
        <w:keepNext/>
        <w:spacing w:before="280" w:after="120"/>
      </w:pPr>
      <w:r>
        <w:rPr>
          <w:b/>
          <w:color w:val="1B365D"/>
          <w:sz w:val="32"/>
        </w:rPr>
        <w:t>1. Executive Overview &amp; Core Philosophy</w:t>
      </w:r>
    </w:p>
    <w:p>
      <w:pPr>
        <w:spacing w:after="160" w:line="276" w:lineRule="auto"/>
      </w:pPr>
      <w:r>
        <w:t xml:space="preserve">Chapter 1 of </w:t>
      </w:r>
      <w:r>
        <w:rPr>
          <w:i/>
        </w:rPr>
        <w:t>Causal Inference for Data Science</w:t>
      </w:r>
      <w:r>
        <w:t xml:space="preserve"> by Aleix Ruiz de Villa sets the foundation for moving beyond passive predictive analytics toward active intervention design. In modern data science, standard machine learning models excel at predicting outcomes based on existing patterns ($P(Y|X)$). However, predictive models fail when decision-makers want to know </w:t>
      </w:r>
      <w:r>
        <w:rPr>
          <w:i/>
        </w:rPr>
        <w:t>what happens if we change X</w:t>
      </w:r>
      <w:r>
        <w:t>. Causal inference provides the theoretical and mathematical framework required to answer these actionable, counterfactual questions.</w:t>
      </w:r>
    </w:p>
    <w:tbl>
      <w:tblPr>
        <w:tblW w:type="auto" w:w="0"/>
        <w:jc w:val="center"/>
        <w:tblLook w:firstColumn="1" w:firstRow="1" w:lastColumn="0" w:lastRow="0" w:noHBand="0" w:noVBand="1" w:val="04A0"/>
      </w:tblPr>
      <w:tblGrid>
        <w:gridCol w:w="9360"/>
      </w:tblGrid>
      <w:tr>
        <w:tc>
          <w:tcPr>
            <w:tcW w:type="dxa" w:w="9360"/>
            <w:shd w:fill="F4F6F8"/>
            <w:tcBorders>
              <w:left w:val="single" w:sz="24" w:space="0" w:color="1B365D"/>
              <w:top w:val="none"/>
              <w:right w:val="none"/>
              <w:bottom w:val="none"/>
            </w:tcBorders>
          </w:tcPr>
          <w:p>
            <w:pPr>
              <w:spacing w:before="120" w:after="120"/>
              <w:ind w:left="144" w:right="144"/>
            </w:pPr>
            <w:r>
              <w:rPr>
                <w:b/>
                <w:color w:val="1B365D"/>
              </w:rPr>
              <w:t xml:space="preserve">Key Takeaway: </w:t>
            </w:r>
            <w:r>
              <w:t>Correlation measures symmetric association ($corr(X,Y) = corr(Y,X)$), whereas causation is strictly asymmetric ($X \rightarrow Y$). High correlation can arise purely from common causes (confounders) or spurious time trends.</w:t>
            </w:r>
          </w:p>
        </w:tc>
      </w:tr>
    </w:tbl>
    <w:p>
      <w:pPr>
        <w:spacing w:after="120"/>
      </w:pPr>
    </w:p>
    <w:p>
      <w:pPr>
        <w:keepNext/>
        <w:spacing w:before="280" w:after="120"/>
      </w:pPr>
      <w:r>
        <w:rPr>
          <w:b/>
          <w:color w:val="1B365D"/>
          <w:sz w:val="32"/>
        </w:rPr>
        <w:t>2. The Standard 5-Step Causal Inference Workflow</w:t>
      </w:r>
    </w:p>
    <w:p>
      <w:r>
        <w:t>To systematically tackle causal problems with observational or experimental data, the text outlines a structured five-step workflow:</w:t>
      </w:r>
    </w:p>
    <w:tbl>
      <w:tblPr>
        <w:tblW w:type="auto" w:w="0"/>
        <w:jc w:val="center"/>
        <w:tblLook w:firstColumn="1" w:firstRow="1" w:lastColumn="0" w:lastRow="0" w:noHBand="0" w:noVBand="1" w:val="04A0"/>
      </w:tblPr>
      <w:tblGrid>
        <w:gridCol w:w="4680"/>
        <w:gridCol w:w="4680"/>
      </w:tblGrid>
      <w:tr>
        <w:tc>
          <w:tcPr>
            <w:tcW w:type="dxa" w:w="4680"/>
            <w:shd w:fill="1B365D"/>
          </w:tcPr>
          <w:p>
            <w:pPr>
              <w:spacing w:before="80" w:after="80"/>
            </w:pPr>
            <w:r>
              <w:rPr>
                <w:b/>
                <w:color w:val="FFFFFF"/>
              </w:rPr>
              <w:t>Step</w:t>
            </w:r>
          </w:p>
        </w:tc>
        <w:tc>
          <w:tcPr>
            <w:tcW w:type="dxa" w:w="4680"/>
            <w:shd w:fill="1B365D"/>
          </w:tcPr>
          <w:p>
            <w:pPr>
              <w:spacing w:before="80" w:after="80"/>
            </w:pPr>
            <w:r>
              <w:rPr>
                <w:b/>
                <w:color w:val="FFFFFF"/>
              </w:rPr>
              <w:t>Description &amp; Critical Considerations</w:t>
            </w:r>
          </w:p>
        </w:tc>
      </w:tr>
      <w:tr>
        <w:tc>
          <w:tcPr>
            <w:tcW w:type="dxa" w:w="468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1. Data Classification</w:t>
            </w:r>
          </w:p>
        </w:tc>
        <w:tc>
          <w:tcPr>
            <w:tcW w:type="dxa" w:w="468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Determine if data is experimental (RCT/A/B test) or observational. Experimental data guarantees random assignment, eliminating confounders. Observational data requires causal modeling.</w:t>
            </w:r>
          </w:p>
        </w:tc>
      </w:tr>
      <w:tr>
        <w:tc>
          <w:tcPr>
            <w:tcW w:type="dxa" w:w="4680"/>
            <w:shd w:fill="F4F6F8"/>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2. Domain Understanding</w:t>
            </w:r>
          </w:p>
        </w:tc>
        <w:tc>
          <w:tcPr>
            <w:tcW w:type="dxa" w:w="4680"/>
            <w:shd w:fill="F4F6F8"/>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Thoroughly analyze domain context and collect all potential confounding variables. Unlike ML where correlated proxies suffice, missing a key confounder in causal inference leads to biased estimates.</w:t>
            </w:r>
          </w:p>
        </w:tc>
      </w:tr>
      <w:tr>
        <w:tc>
          <w:tcPr>
            <w:tcW w:type="dxa" w:w="468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3. Causal Modeling</w:t>
            </w:r>
          </w:p>
        </w:tc>
        <w:tc>
          <w:tcPr>
            <w:tcW w:type="dxa" w:w="468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Construct conceptual frameworks using Directed Acyclic Graphs (DAGs) or structural equations to explicitly map hypothesized cause-and-effect relationships.</w:t>
            </w:r>
          </w:p>
        </w:tc>
      </w:tr>
      <w:tr>
        <w:tc>
          <w:tcPr>
            <w:tcW w:type="dxa" w:w="4680"/>
            <w:shd w:fill="F4F6F8"/>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4. Stakeholder Collaboration</w:t>
            </w:r>
          </w:p>
        </w:tc>
        <w:tc>
          <w:tcPr>
            <w:tcW w:type="dxa" w:w="4680"/>
            <w:shd w:fill="F4F6F8"/>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Share models and explicit assumptions with domain experts (e.g., physicians, product managers) to surface blind spots and validate structural connections.</w:t>
            </w:r>
          </w:p>
        </w:tc>
      </w:tr>
      <w:tr>
        <w:tc>
          <w:tcPr>
            <w:tcW w:type="dxa" w:w="468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5. Technique Application</w:t>
            </w:r>
          </w:p>
        </w:tc>
        <w:tc>
          <w:tcPr>
            <w:tcW w:type="dxa" w:w="468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Apply causal estimation techniques (Adjustment Formula, Instrumental Variables, or Time Series methods) to isolate the Average Treatment Effect (ATE).</w:t>
            </w:r>
          </w:p>
        </w:tc>
      </w:tr>
    </w:tbl>
    <w:p>
      <w:pPr>
        <w:spacing w:after="120"/>
      </w:pPr>
    </w:p>
    <w:p>
      <w:pPr>
        <w:keepNext/>
        <w:spacing w:before="280" w:after="120"/>
      </w:pPr>
      <w:r>
        <w:rPr>
          <w:b/>
          <w:color w:val="1B365D"/>
          <w:sz w:val="32"/>
        </w:rPr>
        <w:t>3. Machine Learning vs. Causal Inference</w:t>
      </w:r>
    </w:p>
    <w:p>
      <w:pPr>
        <w:spacing w:after="160" w:line="276" w:lineRule="auto"/>
      </w:pPr>
      <w:r>
        <w:t>A critical distinction highlighted in the chapter is why causal inference cannot rely on standard machine learning validation techniques like cross-validation.</w:t>
      </w:r>
    </w:p>
    <w:tbl>
      <w:tblPr>
        <w:tblW w:type="auto" w:w="0"/>
        <w:jc w:val="center"/>
        <w:tblLook w:firstColumn="1" w:firstRow="1" w:lastColumn="0" w:lastRow="0" w:noHBand="0" w:noVBand="1" w:val="04A0"/>
      </w:tblPr>
      <w:tblGrid>
        <w:gridCol w:w="3120"/>
        <w:gridCol w:w="3120"/>
        <w:gridCol w:w="3120"/>
      </w:tblGrid>
      <w:tr>
        <w:tc>
          <w:tcPr>
            <w:tcW w:type="dxa" w:w="3120"/>
            <w:shd w:fill="4A777A"/>
          </w:tcPr>
          <w:p>
            <w:pPr>
              <w:spacing w:before="80" w:after="80"/>
            </w:pPr>
            <w:r>
              <w:rPr>
                <w:b/>
                <w:color w:val="FFFFFF"/>
              </w:rPr>
              <w:t>Dimension</w:t>
            </w:r>
          </w:p>
        </w:tc>
        <w:tc>
          <w:tcPr>
            <w:tcW w:type="dxa" w:w="3120"/>
            <w:shd w:fill="4A777A"/>
          </w:tcPr>
          <w:p>
            <w:pPr>
              <w:spacing w:before="80" w:after="80"/>
            </w:pPr>
            <w:r>
              <w:rPr>
                <w:b/>
                <w:color w:val="FFFFFF"/>
              </w:rPr>
              <w:t>Predictive Machine Learning</w:t>
            </w:r>
          </w:p>
        </w:tc>
        <w:tc>
          <w:tcPr>
            <w:tcW w:type="dxa" w:w="3120"/>
            <w:shd w:fill="4A777A"/>
          </w:tcPr>
          <w:p>
            <w:pPr>
              <w:spacing w:before="80" w:after="80"/>
            </w:pPr>
            <w:r>
              <w:rPr>
                <w:b/>
                <w:color w:val="FFFFFF"/>
              </w:rPr>
              <w:t>Causal Inference</w:t>
            </w:r>
          </w:p>
        </w:tc>
      </w:tr>
      <w:tr>
        <w:tc>
          <w:tcPr>
            <w:tcW w:type="dxa" w:w="312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Primary Objective</w:t>
            </w:r>
          </w:p>
        </w:tc>
        <w:tc>
          <w:tcPr>
            <w:tcW w:type="dxa" w:w="312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Predict future outcomes Y given observed features X.</w:t>
            </w:r>
          </w:p>
        </w:tc>
        <w:tc>
          <w:tcPr>
            <w:tcW w:type="dxa" w:w="312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Estimate the effect of intervening on X (e.g., $P(Y|do(X))$).</w:t>
            </w:r>
          </w:p>
        </w:tc>
      </w:tr>
      <w:tr>
        <w:tc>
          <w:tcPr>
            <w:tcW w:type="dxa" w:w="3120"/>
            <w:shd w:fill="F4F6F8"/>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Validation Mechanism</w:t>
            </w:r>
          </w:p>
        </w:tc>
        <w:tc>
          <w:tcPr>
            <w:tcW w:type="dxa" w:w="3120"/>
            <w:shd w:fill="F4F6F8"/>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Cross-validation &amp; test set holdouts.</w:t>
            </w:r>
          </w:p>
        </w:tc>
        <w:tc>
          <w:tcPr>
            <w:tcW w:type="dxa" w:w="3120"/>
            <w:shd w:fill="F4F6F8"/>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No test set exists (counterfactuals are unobservable). Requires domain alignment &amp; sensitivity analysis.</w:t>
            </w:r>
          </w:p>
        </w:tc>
      </w:tr>
      <w:tr>
        <w:tc>
          <w:tcPr>
            <w:tcW w:type="dxa" w:w="312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Domain Knowledge</w:t>
            </w:r>
          </w:p>
        </w:tc>
        <w:tc>
          <w:tcPr>
            <w:tcW w:type="dxa" w:w="312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Optional (black-box models / Kaggle setups).</w:t>
            </w:r>
          </w:p>
        </w:tc>
        <w:tc>
          <w:tcPr>
            <w:tcW w:type="dxa" w:w="3120"/>
            <w:shd w:fill="FFFFFF"/>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Mandatory (must specify structural assumptions &amp; DAGs).</w:t>
            </w:r>
          </w:p>
        </w:tc>
      </w:tr>
      <w:tr>
        <w:tc>
          <w:tcPr>
            <w:tcW w:type="dxa" w:w="3120"/>
            <w:shd w:fill="F4F6F8"/>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Confounder Sensitivity</w:t>
            </w:r>
          </w:p>
        </w:tc>
        <w:tc>
          <w:tcPr>
            <w:tcW w:type="dxa" w:w="3120"/>
            <w:shd w:fill="F4F6F8"/>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Correlated proxies are beneficial for performance.</w:t>
            </w:r>
          </w:p>
        </w:tc>
        <w:tc>
          <w:tcPr>
            <w:tcW w:type="dxa" w:w="3120"/>
            <w:shd w:fill="F4F6F8"/>
            <w:tcMar>
              <w:top w:w="60" w:type="dxa"/>
              <w:bottom w:w="60" w:type="dxa"/>
              <w:left w:w="100" w:type="dxa"/>
              <w:right w:w="100" w:type="dxa"/>
            </w:tcMar>
            <w:tcBorders>
              <w:top w:val="single" w:sz="4" w:space="0" w:color="CCCCCC"/>
              <w:bottom w:val="single" w:sz="4" w:space="0" w:color="CCCCCC"/>
              <w:left w:val="none"/>
              <w:right w:val="none"/>
            </w:tcBorders>
          </w:tcPr>
          <w:p>
            <w:pPr>
              <w:spacing w:before="60" w:after="60"/>
            </w:pPr>
            <w:r>
              <w:t>Unobserved confounders ruin causal estimates completely.</w:t>
            </w:r>
          </w:p>
        </w:tc>
      </w:tr>
    </w:tbl>
    <w:p>
      <w:pPr>
        <w:keepNext/>
        <w:spacing w:before="280" w:after="120"/>
      </w:pPr>
      <w:r>
        <w:rPr>
          <w:b/>
          <w:color w:val="1B365D"/>
          <w:sz w:val="32"/>
        </w:rPr>
        <w:t>4. Mathematical Foundations &amp; Probability Concepts</w:t>
      </w:r>
    </w:p>
    <w:p>
      <w:pPr>
        <w:spacing w:after="120"/>
      </w:pPr>
      <w:r>
        <w:t>The chapter reinforces fundamental probability concepts essential for causal derivations:</w:t>
      </w:r>
    </w:p>
    <w:p>
      <w:pPr>
        <w:pStyle w:val="ListBullet"/>
        <w:spacing w:after="60"/>
      </w:pPr>
      <w:r>
        <w:rPr>
          <w:b/>
        </w:rPr>
        <w:t xml:space="preserve">Empirical vs. Data-Generating Distribution: </w:t>
      </w:r>
      <w:r>
        <w:t>The data-generating process represents nature's true probability distribution ($P$). The empirical distribution ($ñ$) is obtained from finite samples. By the Glivenko-Cantelli theorem, empirical distributions converge to data-generating distributions as sample size $n \rightarrow \infty$.</w:t>
      </w:r>
    </w:p>
    <w:p>
      <w:pPr>
        <w:pStyle w:val="ListBullet"/>
        <w:spacing w:after="60"/>
      </w:pPr>
      <w:r>
        <w:rPr>
          <w:b/>
        </w:rPr>
        <w:t xml:space="preserve">Conditional Probability: </w:t>
      </w:r>
      <w:r>
        <w:t>Defined as $P(Y=y|X=x) = \frac{P(Y=y, X=x)}{P(X=x)}$. In programming terms, this corresponds to filtering dataset rows where $X=x$ and evaluating the distribution of $Y$.</w:t>
      </w:r>
    </w:p>
    <w:p>
      <w:pPr>
        <w:pStyle w:val="ListBullet"/>
        <w:spacing w:after="60"/>
      </w:pPr>
      <w:r>
        <w:rPr>
          <w:b/>
        </w:rPr>
        <w:t xml:space="preserve">Conditional Expectation: </w:t>
      </w:r>
      <w:r>
        <w:t>$E[Y|X=x]$ represents the average value of $Y$ within the subset where $X=x$. For binary outcome variables $Y \in \{0, 1\}$, the conditional expectation equals the conditional probability: $E[Y|X=x] = P(Y=1|X=x)$.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