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A365D"/>
          <w:sz w:val="48"/>
        </w:rPr>
        <w:t>Framework for Exploratory Data Analysis (EDA)</w:t>
      </w:r>
    </w:p>
    <w:p>
      <w:pPr>
        <w:spacing w:after="360"/>
      </w:pPr>
      <w:r>
        <w:rPr>
          <w:color w:val="4A5568"/>
          <w:sz w:val="26"/>
        </w:rPr>
        <w:t>Methodological Importance, Statistical Fundamentals, and Modular Engineering Architecture</w:t>
      </w:r>
    </w:p>
    <w:p>
      <w:pPr>
        <w:spacing w:after="80"/>
      </w:pPr>
    </w:p>
    <w:p>
      <w:pPr>
        <w:pStyle w:val="Heading1"/>
        <w:spacing w:before="320" w:after="120"/>
      </w:pPr>
      <w:r>
        <w:rPr>
          <w:b/>
          <w:color w:val="1A365D"/>
          <w:sz w:val="32"/>
        </w:rPr>
        <w:t>1. Executive Summary &amp; Purpose</w:t>
      </w:r>
    </w:p>
    <w:p>
      <w:r>
        <w:t>Exploratory Data Analysis (EDA) serves as the foundational pillar of modern data science, quantitative research, and predictive modeling. Based on the fundamental principles articulated in 'Exploratory Data Analysis with Python Cookbook' (Oluleye, 2023), summary statistics provide the vital initial inspection needed to comprehend the mathematical structure, central tendencies, and variability within tabular datasets.</w:t>
      </w:r>
    </w:p>
    <w:p>
      <w:r>
        <w:t>Without systematic exploratory procedures, analytical workflows are vulnerable to severely distorted conclusions caused by undetected anomalies, extreme skewness, statistical noise, and corrupted data entry. This document outlines the technical rationale behind automated EDA frameworks, detailing how computational statistical profiling transforms raw observation matrices into trustworthy, actionable insights.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b/>
                <w:color w:val="1A365D"/>
                <w:sz w:val="21"/>
              </w:rPr>
              <w:t>■ STRATEGIC IMPERATIVE</w:t>
              <w:br/>
            </w:r>
            <w:r>
              <w:rPr>
                <w:i/>
                <w:color w:val="2D3748"/>
                <w:sz w:val="20"/>
              </w:rPr>
              <w:t>EDA is not merely a preliminary formality; it is a rigorous diagnostic process that dictates model architecture, feature engineering, and data cleaning strategies. Automated modular pipelines ensure that baseline statistical metrics are extracted consistently and repeatably.</w:t>
            </w:r>
          </w:p>
        </w:tc>
      </w:tr>
    </w:tbl>
    <w:p>
      <w:pPr>
        <w:pStyle w:val="Heading1"/>
        <w:spacing w:before="360" w:after="120"/>
      </w:pPr>
      <w:r>
        <w:rPr>
          <w:b/>
          <w:color w:val="1A365D"/>
          <w:sz w:val="32"/>
        </w:rPr>
        <w:t>2. Strategic Importance of Exploratory Data Analysis</w:t>
      </w:r>
    </w:p>
    <w:p>
      <w:r>
        <w:t>Conducting structured EDA before applying machine learning models or high-level business intelligence dashboards delivers critical advantages across four key dimensions:</w:t>
      </w:r>
    </w:p>
    <w:p>
      <w:pPr>
        <w:pStyle w:val="ListBullet"/>
        <w:spacing w:after="80"/>
      </w:pPr>
      <w:r>
        <w:rPr>
          <w:b/>
          <w:color w:val="2B6CB0"/>
        </w:rPr>
        <w:t xml:space="preserve">Data Quality &amp; Integrity Assurance: </w:t>
      </w:r>
      <w:r>
        <w:t>Identifies structural defects such as missing records, invalid data types, non-standard representations, and duplicate entities early in the pipeline.</w:t>
      </w:r>
    </w:p>
    <w:p>
      <w:pPr>
        <w:pStyle w:val="ListBullet"/>
        <w:spacing w:after="80"/>
      </w:pPr>
      <w:r>
        <w:rPr>
          <w:b/>
          <w:color w:val="2B6CB0"/>
        </w:rPr>
        <w:t xml:space="preserve">Distribution &amp; Skewness Detection: </w:t>
      </w:r>
      <w:r>
        <w:t>Reveals whether features conform to normal distributions or exhibit severe tail skewness, guiding necessary transformations (e.g., logarithmic, Box-Cox) prior to statistical modeling.</w:t>
      </w:r>
    </w:p>
    <w:p>
      <w:pPr>
        <w:pStyle w:val="ListBullet"/>
        <w:spacing w:after="80"/>
      </w:pPr>
      <w:r>
        <w:rPr>
          <w:b/>
          <w:color w:val="2B6CB0"/>
        </w:rPr>
        <w:t xml:space="preserve">Outlier Diagnostic &amp; Sensitivity Analysis: </w:t>
      </w:r>
      <w:r>
        <w:t>Evaluates the divergence between location metrics (e.g., Mean vs. Median) to quantify the impact of extreme outliers on global summary metrics.</w:t>
      </w:r>
    </w:p>
    <w:p>
      <w:pPr>
        <w:pStyle w:val="ListBullet"/>
        <w:spacing w:after="80"/>
      </w:pPr>
      <w:r>
        <w:rPr>
          <w:b/>
          <w:color w:val="2B6CB0"/>
        </w:rPr>
        <w:t xml:space="preserve">Feature Engineering Strategy: </w:t>
      </w:r>
      <w:r>
        <w:t>Informs decision-making regarding categorical encoding, numerical scaling, standard z-score normalization, and robust scaling derived from interquartile bounds.</w:t>
      </w:r>
    </w:p>
    <w:p>
      <w:pPr>
        <w:pStyle w:val="Heading1"/>
        <w:spacing w:before="360" w:after="120"/>
      </w:pPr>
      <w:r>
        <w:rPr>
          <w:b/>
          <w:color w:val="1A365D"/>
          <w:sz w:val="32"/>
        </w:rPr>
        <w:t>3. Statistical Metric Breakdown</w:t>
      </w:r>
    </w:p>
    <w:p>
      <w:r>
        <w:t>The operational framework evaluates nine statistical metrics categorized into measures of central tendency, measures of dispersion, and quantile metrics: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365D"/>
            <w:tcMar>
              <w:top w:w="100" w:type="dxa"/>
              <w:bottom w:w="100" w:type="dxa"/>
              <w:left w:w="100" w:type="dxa"/>
              <w:right w:w="100" w:type="dxa"/>
            </w:tcMar>
          </w:tcPr>
          <w:p>
            <w:r>
              <w:rPr>
                <w:b/>
                <w:color w:val="FFFFFF"/>
                <w:sz w:val="19"/>
              </w:rPr>
              <w:t>Metric Category</w:t>
            </w:r>
          </w:p>
        </w:tc>
        <w:tc>
          <w:tcPr>
            <w:tcW w:type="dxa" w:w="2160"/>
            <w:shd w:fill="1A365D"/>
            <w:tcMar>
              <w:top w:w="100" w:type="dxa"/>
              <w:bottom w:w="100" w:type="dxa"/>
              <w:left w:w="100" w:type="dxa"/>
              <w:right w:w="100" w:type="dxa"/>
            </w:tcMar>
          </w:tcPr>
          <w:p>
            <w:r>
              <w:rPr>
                <w:b/>
                <w:color w:val="FFFFFF"/>
                <w:sz w:val="19"/>
              </w:rPr>
              <w:t>Statistical Measure</w:t>
            </w:r>
          </w:p>
        </w:tc>
        <w:tc>
          <w:tcPr>
            <w:tcW w:type="dxa" w:w="1872"/>
            <w:shd w:fill="1A365D"/>
            <w:tcMar>
              <w:top w:w="100" w:type="dxa"/>
              <w:bottom w:w="100" w:type="dxa"/>
              <w:left w:w="100" w:type="dxa"/>
              <w:right w:w="100" w:type="dxa"/>
            </w:tcMar>
          </w:tcPr>
          <w:p>
            <w:r>
              <w:rPr>
                <w:b/>
                <w:color w:val="FFFFFF"/>
                <w:sz w:val="19"/>
              </w:rPr>
              <w:t>Sensitivity to Outliers</w:t>
            </w:r>
          </w:p>
        </w:tc>
        <w:tc>
          <w:tcPr>
            <w:tcW w:type="dxa" w:w="3168"/>
            <w:shd w:fill="1A365D"/>
            <w:tcMar>
              <w:top w:w="100" w:type="dxa"/>
              <w:bottom w:w="100" w:type="dxa"/>
              <w:left w:w="100" w:type="dxa"/>
              <w:right w:w="100" w:type="dxa"/>
            </w:tcMar>
          </w:tcPr>
          <w:p>
            <w:r>
              <w:rPr>
                <w:b/>
                <w:color w:val="FFFFFF"/>
                <w:sz w:val="19"/>
              </w:rPr>
              <w:t>Analytical Value &amp; Usage</w:t>
            </w:r>
          </w:p>
        </w:tc>
      </w:tr>
      <w:tr>
        <w:tc>
          <w:tcPr>
            <w:tcW w:type="dxa" w:w="2160"/>
            <w:shd w:fill="F7FAFC"/>
            <w:tcMar>
              <w:top w:w="80" w:type="dxa"/>
              <w:bottom w:w="80" w:type="dxa"/>
              <w:left w:w="100" w:type="dxa"/>
              <w:right w:w="100" w:type="dxa"/>
            </w:tcMar>
          </w:tcPr>
          <w:p>
            <w:r>
              <w:rPr>
                <w:sz w:val="18"/>
              </w:rPr>
              <w:t>Central Tendency</w:t>
            </w:r>
          </w:p>
        </w:tc>
        <w:tc>
          <w:tcPr>
            <w:tcW w:type="dxa" w:w="2160"/>
            <w:shd w:fill="F7FAFC"/>
            <w:tcMar>
              <w:top w:w="80" w:type="dxa"/>
              <w:bottom w:w="80" w:type="dxa"/>
              <w:left w:w="100" w:type="dxa"/>
              <w:right w:w="100" w:type="dxa"/>
            </w:tcMar>
          </w:tcPr>
          <w:p>
            <w:r>
              <w:rPr>
                <w:b/>
                <w:sz w:val="18"/>
              </w:rPr>
              <w:t>Mean (Average)</w:t>
            </w:r>
          </w:p>
        </w:tc>
        <w:tc>
          <w:tcPr>
            <w:tcW w:type="dxa" w:w="1872"/>
            <w:shd w:fill="F7FAFC"/>
            <w:tcMar>
              <w:top w:w="80" w:type="dxa"/>
              <w:bottom w:w="80" w:type="dxa"/>
              <w:left w:w="100" w:type="dxa"/>
              <w:right w:w="100" w:type="dxa"/>
            </w:tcMar>
          </w:tcPr>
          <w:p>
            <w:r>
              <w:rPr>
                <w:sz w:val="18"/>
              </w:rPr>
              <w:t>High</w:t>
            </w:r>
          </w:p>
        </w:tc>
        <w:tc>
          <w:tcPr>
            <w:tcW w:type="dxa" w:w="3168"/>
            <w:shd w:fill="F7FAFC"/>
            <w:tcMar>
              <w:top w:w="80" w:type="dxa"/>
              <w:bottom w:w="80" w:type="dxa"/>
              <w:left w:w="100" w:type="dxa"/>
              <w:right w:w="100" w:type="dxa"/>
            </w:tcMar>
          </w:tcPr>
          <w:p>
            <w:r>
              <w:rPr>
                <w:sz w:val="18"/>
              </w:rPr>
              <w:t>Calculates center location. Highly influenced by extreme values.</w:t>
            </w:r>
          </w:p>
        </w:tc>
      </w:tr>
      <w:tr>
        <w:tc>
          <w:tcPr>
            <w:tcW w:type="dxa" w:w="2160"/>
            <w:shd w:fill="FFFFFF"/>
            <w:tcMar>
              <w:top w:w="80" w:type="dxa"/>
              <w:bottom w:w="80" w:type="dxa"/>
              <w:left w:w="100" w:type="dxa"/>
              <w:right w:w="100" w:type="dxa"/>
            </w:tcMar>
          </w:tcPr>
          <w:p>
            <w:r>
              <w:rPr>
                <w:sz w:val="18"/>
              </w:rPr>
              <w:t>Central Tendency</w:t>
            </w:r>
          </w:p>
        </w:tc>
        <w:tc>
          <w:tcPr>
            <w:tcW w:type="dxa" w:w="2160"/>
            <w:shd w:fill="FFFFFF"/>
            <w:tcMar>
              <w:top w:w="80" w:type="dxa"/>
              <w:bottom w:w="80" w:type="dxa"/>
              <w:left w:w="100" w:type="dxa"/>
              <w:right w:w="100" w:type="dxa"/>
            </w:tcMar>
          </w:tcPr>
          <w:p>
            <w:r>
              <w:rPr>
                <w:b/>
                <w:sz w:val="18"/>
              </w:rPr>
              <w:t>Median (50th %)</w:t>
            </w:r>
          </w:p>
        </w:tc>
        <w:tc>
          <w:tcPr>
            <w:tcW w:type="dxa" w:w="1872"/>
            <w:shd w:fill="FFFFFF"/>
            <w:tcMar>
              <w:top w:w="80" w:type="dxa"/>
              <w:bottom w:w="80" w:type="dxa"/>
              <w:left w:w="100" w:type="dxa"/>
              <w:right w:w="100" w:type="dxa"/>
            </w:tcMar>
          </w:tcPr>
          <w:p>
            <w:r>
              <w:rPr>
                <w:sz w:val="18"/>
              </w:rPr>
              <w:t>Robust (Low)</w:t>
            </w:r>
          </w:p>
        </w:tc>
        <w:tc>
          <w:tcPr>
            <w:tcW w:type="dxa" w:w="3168"/>
            <w:shd w:fill="FFFFFF"/>
            <w:tcMar>
              <w:top w:w="80" w:type="dxa"/>
              <w:bottom w:w="80" w:type="dxa"/>
              <w:left w:w="100" w:type="dxa"/>
              <w:right w:w="100" w:type="dxa"/>
            </w:tcMar>
          </w:tcPr>
          <w:p>
            <w:r>
              <w:rPr>
                <w:sz w:val="18"/>
              </w:rPr>
              <w:t>Middle value of sorted data. Ideal for skewed distributions.</w:t>
            </w:r>
          </w:p>
        </w:tc>
      </w:tr>
      <w:tr>
        <w:tc>
          <w:tcPr>
            <w:tcW w:type="dxa" w:w="2160"/>
            <w:shd w:fill="F7FAFC"/>
            <w:tcMar>
              <w:top w:w="80" w:type="dxa"/>
              <w:bottom w:w="80" w:type="dxa"/>
              <w:left w:w="100" w:type="dxa"/>
              <w:right w:w="100" w:type="dxa"/>
            </w:tcMar>
          </w:tcPr>
          <w:p>
            <w:r>
              <w:rPr>
                <w:sz w:val="18"/>
              </w:rPr>
              <w:t>Central Tendency</w:t>
            </w:r>
          </w:p>
        </w:tc>
        <w:tc>
          <w:tcPr>
            <w:tcW w:type="dxa" w:w="2160"/>
            <w:shd w:fill="F7FAFC"/>
            <w:tcMar>
              <w:top w:w="80" w:type="dxa"/>
              <w:bottom w:w="80" w:type="dxa"/>
              <w:left w:w="100" w:type="dxa"/>
              <w:right w:w="100" w:type="dxa"/>
            </w:tcMar>
          </w:tcPr>
          <w:p>
            <w:r>
              <w:rPr>
                <w:b/>
                <w:sz w:val="18"/>
              </w:rPr>
              <w:t>Mode</w:t>
            </w:r>
          </w:p>
        </w:tc>
        <w:tc>
          <w:tcPr>
            <w:tcW w:type="dxa" w:w="1872"/>
            <w:shd w:fill="F7FAFC"/>
            <w:tcMar>
              <w:top w:w="80" w:type="dxa"/>
              <w:bottom w:w="80" w:type="dxa"/>
              <w:left w:w="100" w:type="dxa"/>
              <w:right w:w="100" w:type="dxa"/>
            </w:tcMar>
          </w:tcPr>
          <w:p>
            <w:r>
              <w:rPr>
                <w:sz w:val="18"/>
              </w:rPr>
              <w:t>Robust (Low)</w:t>
            </w:r>
          </w:p>
        </w:tc>
        <w:tc>
          <w:tcPr>
            <w:tcW w:type="dxa" w:w="3168"/>
            <w:shd w:fill="F7FAFC"/>
            <w:tcMar>
              <w:top w:w="80" w:type="dxa"/>
              <w:bottom w:w="80" w:type="dxa"/>
              <w:left w:w="100" w:type="dxa"/>
              <w:right w:w="100" w:type="dxa"/>
            </w:tcMar>
          </w:tcPr>
          <w:p>
            <w:r>
              <w:rPr>
                <w:sz w:val="18"/>
              </w:rPr>
              <w:t>Most frequent value. Works on categorical and discrete numbers.</w:t>
            </w:r>
          </w:p>
        </w:tc>
      </w:tr>
      <w:tr>
        <w:tc>
          <w:tcPr>
            <w:tcW w:type="dxa" w:w="2160"/>
            <w:shd w:fill="FFFFFF"/>
            <w:tcMar>
              <w:top w:w="80" w:type="dxa"/>
              <w:bottom w:w="80" w:type="dxa"/>
              <w:left w:w="100" w:type="dxa"/>
              <w:right w:w="100" w:type="dxa"/>
            </w:tcMar>
          </w:tcPr>
          <w:p>
            <w:r>
              <w:rPr>
                <w:sz w:val="18"/>
              </w:rPr>
              <w:t>Dispersion</w:t>
            </w:r>
          </w:p>
        </w:tc>
        <w:tc>
          <w:tcPr>
            <w:tcW w:type="dxa" w:w="2160"/>
            <w:shd w:fill="FFFFFF"/>
            <w:tcMar>
              <w:top w:w="80" w:type="dxa"/>
              <w:bottom w:w="80" w:type="dxa"/>
              <w:left w:w="100" w:type="dxa"/>
              <w:right w:w="100" w:type="dxa"/>
            </w:tcMar>
          </w:tcPr>
          <w:p>
            <w:r>
              <w:rPr>
                <w:b/>
                <w:sz w:val="18"/>
              </w:rPr>
              <w:t>Variance (σ²)</w:t>
            </w:r>
          </w:p>
        </w:tc>
        <w:tc>
          <w:tcPr>
            <w:tcW w:type="dxa" w:w="1872"/>
            <w:shd w:fill="FFFFFF"/>
            <w:tcMar>
              <w:top w:w="80" w:type="dxa"/>
              <w:bottom w:w="80" w:type="dxa"/>
              <w:left w:w="100" w:type="dxa"/>
              <w:right w:w="100" w:type="dxa"/>
            </w:tcMar>
          </w:tcPr>
          <w:p>
            <w:r>
              <w:rPr>
                <w:sz w:val="18"/>
              </w:rPr>
              <w:t>High</w:t>
            </w:r>
          </w:p>
        </w:tc>
        <w:tc>
          <w:tcPr>
            <w:tcW w:type="dxa" w:w="3168"/>
            <w:shd w:fill="FFFFFF"/>
            <w:tcMar>
              <w:top w:w="80" w:type="dxa"/>
              <w:bottom w:w="80" w:type="dxa"/>
              <w:left w:w="100" w:type="dxa"/>
              <w:right w:w="100" w:type="dxa"/>
            </w:tcMar>
          </w:tcPr>
          <w:p>
            <w:r>
              <w:rPr>
                <w:sz w:val="18"/>
              </w:rPr>
              <w:t>Measures average squared distance from mean.</w:t>
            </w:r>
          </w:p>
        </w:tc>
      </w:tr>
      <w:tr>
        <w:tc>
          <w:tcPr>
            <w:tcW w:type="dxa" w:w="2160"/>
            <w:shd w:fill="F7FAFC"/>
            <w:tcMar>
              <w:top w:w="80" w:type="dxa"/>
              <w:bottom w:w="80" w:type="dxa"/>
              <w:left w:w="100" w:type="dxa"/>
              <w:right w:w="100" w:type="dxa"/>
            </w:tcMar>
          </w:tcPr>
          <w:p>
            <w:r>
              <w:rPr>
                <w:sz w:val="18"/>
              </w:rPr>
              <w:t>Dispersion</w:t>
            </w:r>
          </w:p>
        </w:tc>
        <w:tc>
          <w:tcPr>
            <w:tcW w:type="dxa" w:w="2160"/>
            <w:shd w:fill="F7FAFC"/>
            <w:tcMar>
              <w:top w:w="80" w:type="dxa"/>
              <w:bottom w:w="80" w:type="dxa"/>
              <w:left w:w="100" w:type="dxa"/>
              <w:right w:w="100" w:type="dxa"/>
            </w:tcMar>
          </w:tcPr>
          <w:p>
            <w:r>
              <w:rPr>
                <w:b/>
                <w:sz w:val="18"/>
              </w:rPr>
              <w:t>Standard Dev. (σ)</w:t>
            </w:r>
          </w:p>
        </w:tc>
        <w:tc>
          <w:tcPr>
            <w:tcW w:type="dxa" w:w="1872"/>
            <w:shd w:fill="F7FAFC"/>
            <w:tcMar>
              <w:top w:w="80" w:type="dxa"/>
              <w:bottom w:w="80" w:type="dxa"/>
              <w:left w:w="100" w:type="dxa"/>
              <w:right w:w="100" w:type="dxa"/>
            </w:tcMar>
          </w:tcPr>
          <w:p>
            <w:r>
              <w:rPr>
                <w:sz w:val="18"/>
              </w:rPr>
              <w:t>High</w:t>
            </w:r>
          </w:p>
        </w:tc>
        <w:tc>
          <w:tcPr>
            <w:tcW w:type="dxa" w:w="3168"/>
            <w:shd w:fill="F7FAFC"/>
            <w:tcMar>
              <w:top w:w="80" w:type="dxa"/>
              <w:bottom w:w="80" w:type="dxa"/>
              <w:left w:w="100" w:type="dxa"/>
              <w:right w:w="100" w:type="dxa"/>
            </w:tcMar>
          </w:tcPr>
          <w:p>
            <w:r>
              <w:rPr>
                <w:sz w:val="18"/>
              </w:rPr>
              <w:t>Square root of variance. Expressed in natural dataset units.</w:t>
            </w:r>
          </w:p>
        </w:tc>
      </w:tr>
      <w:tr>
        <w:tc>
          <w:tcPr>
            <w:tcW w:type="dxa" w:w="2160"/>
            <w:shd w:fill="FFFFFF"/>
            <w:tcMar>
              <w:top w:w="80" w:type="dxa"/>
              <w:bottom w:w="80" w:type="dxa"/>
              <w:left w:w="100" w:type="dxa"/>
              <w:right w:w="100" w:type="dxa"/>
            </w:tcMar>
          </w:tcPr>
          <w:p>
            <w:r>
              <w:rPr>
                <w:sz w:val="18"/>
              </w:rPr>
              <w:t>Dispersion</w:t>
            </w:r>
          </w:p>
        </w:tc>
        <w:tc>
          <w:tcPr>
            <w:tcW w:type="dxa" w:w="2160"/>
            <w:shd w:fill="FFFFFF"/>
            <w:tcMar>
              <w:top w:w="80" w:type="dxa"/>
              <w:bottom w:w="80" w:type="dxa"/>
              <w:left w:w="100" w:type="dxa"/>
              <w:right w:w="100" w:type="dxa"/>
            </w:tcMar>
          </w:tcPr>
          <w:p>
            <w:r>
              <w:rPr>
                <w:b/>
                <w:sz w:val="18"/>
              </w:rPr>
              <w:t>Range (Max - Min)</w:t>
            </w:r>
          </w:p>
        </w:tc>
        <w:tc>
          <w:tcPr>
            <w:tcW w:type="dxa" w:w="1872"/>
            <w:shd w:fill="FFFFFF"/>
            <w:tcMar>
              <w:top w:w="80" w:type="dxa"/>
              <w:bottom w:w="80" w:type="dxa"/>
              <w:left w:w="100" w:type="dxa"/>
              <w:right w:w="100" w:type="dxa"/>
            </w:tcMar>
          </w:tcPr>
          <w:p>
            <w:r>
              <w:rPr>
                <w:sz w:val="18"/>
              </w:rPr>
              <w:t>Extremely High</w:t>
            </w:r>
          </w:p>
        </w:tc>
        <w:tc>
          <w:tcPr>
            <w:tcW w:type="dxa" w:w="3168"/>
            <w:shd w:fill="FFFFFF"/>
            <w:tcMar>
              <w:top w:w="80" w:type="dxa"/>
              <w:bottom w:w="80" w:type="dxa"/>
              <w:left w:w="100" w:type="dxa"/>
              <w:right w:w="100" w:type="dxa"/>
            </w:tcMar>
          </w:tcPr>
          <w:p>
            <w:r>
              <w:rPr>
                <w:sz w:val="18"/>
              </w:rPr>
              <w:t>Total distance between extremes. Highly sensitive to noise.</w:t>
            </w:r>
          </w:p>
        </w:tc>
      </w:tr>
      <w:tr>
        <w:tc>
          <w:tcPr>
            <w:tcW w:type="dxa" w:w="2160"/>
            <w:shd w:fill="F7FAFC"/>
            <w:tcMar>
              <w:top w:w="80" w:type="dxa"/>
              <w:bottom w:w="80" w:type="dxa"/>
              <w:left w:w="100" w:type="dxa"/>
              <w:right w:w="100" w:type="dxa"/>
            </w:tcMar>
          </w:tcPr>
          <w:p>
            <w:r>
              <w:rPr>
                <w:sz w:val="18"/>
              </w:rPr>
              <w:t>Quantiles</w:t>
            </w:r>
          </w:p>
        </w:tc>
        <w:tc>
          <w:tcPr>
            <w:tcW w:type="dxa" w:w="2160"/>
            <w:shd w:fill="F7FAFC"/>
            <w:tcMar>
              <w:top w:w="80" w:type="dxa"/>
              <w:bottom w:w="80" w:type="dxa"/>
              <w:left w:w="100" w:type="dxa"/>
              <w:right w:w="100" w:type="dxa"/>
            </w:tcMar>
          </w:tcPr>
          <w:p>
            <w:r>
              <w:rPr>
                <w:b/>
                <w:sz w:val="18"/>
              </w:rPr>
              <w:t>Percentiles</w:t>
            </w:r>
          </w:p>
        </w:tc>
        <w:tc>
          <w:tcPr>
            <w:tcW w:type="dxa" w:w="1872"/>
            <w:shd w:fill="F7FAFC"/>
            <w:tcMar>
              <w:top w:w="80" w:type="dxa"/>
              <w:bottom w:w="80" w:type="dxa"/>
              <w:left w:w="100" w:type="dxa"/>
              <w:right w:w="100" w:type="dxa"/>
            </w:tcMar>
          </w:tcPr>
          <w:p>
            <w:r>
              <w:rPr>
                <w:sz w:val="18"/>
              </w:rPr>
              <w:t>Moderate</w:t>
            </w:r>
          </w:p>
        </w:tc>
        <w:tc>
          <w:tcPr>
            <w:tcW w:type="dxa" w:w="3168"/>
            <w:shd w:fill="F7FAFC"/>
            <w:tcMar>
              <w:top w:w="80" w:type="dxa"/>
              <w:bottom w:w="80" w:type="dxa"/>
              <w:left w:w="100" w:type="dxa"/>
              <w:right w:w="100" w:type="dxa"/>
            </w:tcMar>
          </w:tcPr>
          <w:p>
            <w:r>
              <w:rPr>
                <w:sz w:val="18"/>
              </w:rPr>
              <w:t>Splits distribution into 100 slices. Custom thresholding.</w:t>
            </w:r>
          </w:p>
        </w:tc>
      </w:tr>
      <w:tr>
        <w:tc>
          <w:tcPr>
            <w:tcW w:type="dxa" w:w="2160"/>
            <w:shd w:fill="FFFFFF"/>
            <w:tcMar>
              <w:top w:w="80" w:type="dxa"/>
              <w:bottom w:w="80" w:type="dxa"/>
              <w:left w:w="100" w:type="dxa"/>
              <w:right w:w="100" w:type="dxa"/>
            </w:tcMar>
          </w:tcPr>
          <w:p>
            <w:r>
              <w:rPr>
                <w:sz w:val="18"/>
              </w:rPr>
              <w:t>Quantiles</w:t>
            </w:r>
          </w:p>
        </w:tc>
        <w:tc>
          <w:tcPr>
            <w:tcW w:type="dxa" w:w="2160"/>
            <w:shd w:fill="FFFFFF"/>
            <w:tcMar>
              <w:top w:w="80" w:type="dxa"/>
              <w:bottom w:w="80" w:type="dxa"/>
              <w:left w:w="100" w:type="dxa"/>
              <w:right w:w="100" w:type="dxa"/>
            </w:tcMar>
          </w:tcPr>
          <w:p>
            <w:r>
              <w:rPr>
                <w:b/>
                <w:sz w:val="18"/>
              </w:rPr>
              <w:t>Quartiles (Q1, Q3)</w:t>
            </w:r>
          </w:p>
        </w:tc>
        <w:tc>
          <w:tcPr>
            <w:tcW w:type="dxa" w:w="1872"/>
            <w:shd w:fill="FFFFFF"/>
            <w:tcMar>
              <w:top w:w="80" w:type="dxa"/>
              <w:bottom w:w="80" w:type="dxa"/>
              <w:left w:w="100" w:type="dxa"/>
              <w:right w:w="100" w:type="dxa"/>
            </w:tcMar>
          </w:tcPr>
          <w:p>
            <w:r>
              <w:rPr>
                <w:sz w:val="18"/>
              </w:rPr>
              <w:t>Moderate</w:t>
            </w:r>
          </w:p>
        </w:tc>
        <w:tc>
          <w:tcPr>
            <w:tcW w:type="dxa" w:w="3168"/>
            <w:shd w:fill="FFFFFF"/>
            <w:tcMar>
              <w:top w:w="80" w:type="dxa"/>
              <w:bottom w:w="80" w:type="dxa"/>
              <w:left w:w="100" w:type="dxa"/>
              <w:right w:w="100" w:type="dxa"/>
            </w:tcMar>
          </w:tcPr>
          <w:p>
            <w:r>
              <w:rPr>
                <w:sz w:val="18"/>
              </w:rPr>
              <w:t>Splits distribution into 4 slices (25%, 75%).</w:t>
            </w:r>
          </w:p>
        </w:tc>
      </w:tr>
      <w:tr>
        <w:tc>
          <w:tcPr>
            <w:tcW w:type="dxa" w:w="2160"/>
            <w:shd w:fill="F7FAFC"/>
            <w:tcMar>
              <w:top w:w="80" w:type="dxa"/>
              <w:bottom w:w="80" w:type="dxa"/>
              <w:left w:w="100" w:type="dxa"/>
              <w:right w:w="100" w:type="dxa"/>
            </w:tcMar>
          </w:tcPr>
          <w:p>
            <w:r>
              <w:rPr>
                <w:sz w:val="18"/>
              </w:rPr>
              <w:t>Quantiles</w:t>
            </w:r>
          </w:p>
        </w:tc>
        <w:tc>
          <w:tcPr>
            <w:tcW w:type="dxa" w:w="2160"/>
            <w:shd w:fill="F7FAFC"/>
            <w:tcMar>
              <w:top w:w="80" w:type="dxa"/>
              <w:bottom w:w="80" w:type="dxa"/>
              <w:left w:w="100" w:type="dxa"/>
              <w:right w:w="100" w:type="dxa"/>
            </w:tcMar>
          </w:tcPr>
          <w:p>
            <w:r>
              <w:rPr>
                <w:b/>
                <w:sz w:val="18"/>
              </w:rPr>
              <w:t>IQR (Q3 - Q1)</w:t>
            </w:r>
          </w:p>
        </w:tc>
        <w:tc>
          <w:tcPr>
            <w:tcW w:type="dxa" w:w="1872"/>
            <w:shd w:fill="F7FAFC"/>
            <w:tcMar>
              <w:top w:w="80" w:type="dxa"/>
              <w:bottom w:w="80" w:type="dxa"/>
              <w:left w:w="100" w:type="dxa"/>
              <w:right w:w="100" w:type="dxa"/>
            </w:tcMar>
          </w:tcPr>
          <w:p>
            <w:r>
              <w:rPr>
                <w:sz w:val="18"/>
              </w:rPr>
              <w:t>Robust (Low)</w:t>
            </w:r>
          </w:p>
        </w:tc>
        <w:tc>
          <w:tcPr>
            <w:tcW w:type="dxa" w:w="3168"/>
            <w:shd w:fill="F7FAFC"/>
            <w:tcMar>
              <w:top w:w="80" w:type="dxa"/>
              <w:bottom w:w="80" w:type="dxa"/>
              <w:left w:w="100" w:type="dxa"/>
              <w:right w:w="100" w:type="dxa"/>
            </w:tcMar>
          </w:tcPr>
          <w:p>
            <w:r>
              <w:rPr>
                <w:sz w:val="18"/>
              </w:rPr>
              <w:t>Width of middle 50%. Standard metric for outlier detection.</w:t>
            </w:r>
          </w:p>
        </w:tc>
      </w:tr>
    </w:tbl>
    <w:p>
      <w:pPr>
        <w:pStyle w:val="Heading1"/>
        <w:spacing w:before="360" w:after="120"/>
      </w:pPr>
      <w:r>
        <w:rPr>
          <w:b/>
          <w:color w:val="1A365D"/>
          <w:sz w:val="32"/>
        </w:rPr>
        <w:t>4. Automated &amp; Reusable Code Architecture</w:t>
      </w:r>
    </w:p>
    <w:p>
      <w:r>
        <w:t>To transition from manual, recipe-based execution to enterprise-ready analytical pipelines, the accompanying codebase abstracts exploratory functions into a modular Python library (`eda_toolkit.py`) and an interactive execution workbook (`extended_eda_pipeline.ipynb`).</w:t>
      </w:r>
    </w:p>
    <w:p>
      <w:r>
        <w:rPr>
          <w:b/>
        </w:rPr>
        <w:t>Key Architectural Features:</w:t>
        <w:br/>
      </w:r>
    </w:p>
    <w:p>
      <w:pPr>
        <w:pStyle w:val="ListBullet"/>
        <w:spacing w:after="80"/>
      </w:pPr>
      <w:r>
        <w:rPr>
          <w:b/>
          <w:color w:val="2B6CB0"/>
        </w:rPr>
        <w:t xml:space="preserve">Class-Based Design: </w:t>
      </w:r>
      <w:r>
        <w:t>Encapsulates datasets within the `ExtendedEDA` class, maintaining state, calculated metrics, and visual artifacts.</w:t>
      </w:r>
    </w:p>
    <w:p>
      <w:pPr>
        <w:pStyle w:val="ListBullet"/>
        <w:spacing w:after="80"/>
      </w:pPr>
      <w:r>
        <w:rPr>
          <w:b/>
          <w:color w:val="2B6CB0"/>
        </w:rPr>
        <w:t xml:space="preserve">Dual Script &amp; Notebook Interface: </w:t>
      </w:r>
      <w:r>
        <w:t>Provides standalone execution via standard Python CLI as well as structured, rich-output rendering in Jupyter Notebooks.</w:t>
      </w:r>
    </w:p>
    <w:p>
      <w:pPr>
        <w:pStyle w:val="ListBullet"/>
        <w:spacing w:after="80"/>
      </w:pPr>
      <w:r>
        <w:rPr>
          <w:b/>
          <w:color w:val="2B6CB0"/>
        </w:rPr>
        <w:t xml:space="preserve">Dynamic Outlier Tagging: </w:t>
      </w:r>
      <w:r>
        <w:t>Automatically computes upper and lower fences based on 1.5×IQR bounds to identify potential anomalies without manual thresholding.</w:t>
      </w:r>
    </w:p>
    <w:p>
      <w:pPr>
        <w:pStyle w:val="ListBullet"/>
        <w:spacing w:after="80"/>
      </w:pPr>
      <w:r>
        <w:rPr>
          <w:b/>
          <w:color w:val="2B6CB0"/>
        </w:rPr>
        <w:t xml:space="preserve">Exportable Artifacts: </w:t>
      </w:r>
      <w:r>
        <w:t>Saves structured summary statistics directly to JSON and CSV formats for downstream integration into reporting dashboards.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