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memo — four audiences, one finding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To: Credit Risk / ALM / CFO distribution list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From: BankEff_R lab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Re: How to talk about industry ROA without mixing charters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Teaching panel (synthetic Call-Report style), 2,550 rows, 1990–2024. Same finding, four voices. Not a regulatory filing and not advice to buy or sell any bank.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Headline finding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Pooled ROA looks like a clean recovery into nearly 2% by 2024 because Fintech / ILC books sit in the same column as community banks. A traditional-commercial cut falls hard in 2008–09 and only returns to the low-1%s. Asset size is a weak negative companion of ROA. Community funding stays mostly core.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1. Credit-risk / data analyst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Lead with the filter and the two series. Cite 2009 traditional ROA ≈ 0.35% vs all-in 0.48%, and 2024 1.29% vs 1.94%. Mention log-assets slope and that 2024 is a catalog year. Offer year_max = 2014 so they can recover a pre-fintech window.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2. ALM / funding technician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the filled Core/Wholesale bar and community boxplots. Liquidity coverage should be specced off community mix, not fintech wholesale. NIM compressed after 2020 in the traditional book.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3. CFO / board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chart: two ROA lines, dashed 2008. Sentence they can reuse: “A 1.9% average in 2024 is the file including digital banks; a commercial franchise is still about 1.3%.” Do not set a corporate ROA target off the pooled column unless the mix matches.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4. Nonspecialist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Banks here earned about a dollar per hundred dollars of assets in the 1990s, almost lost it in 2008–09, and traditional banks only got part-way back. The higher recent number counts newer digital banks too.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Situation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Analysts open the solution notebook; the board gets this memo plus the 1-page report.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not dump 16 column names in the executive cut.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ROA is percent of average assets, not a stock return.</w:t>
      </w:r>
    </w:p>
    <w:p>
      <w:pPr>
        <w:spacing w:after="80" w:before="80"/>
        <w:jc w:val="center"/>
      </w:pPr>
      <w:r>
        <w:drawing>
          <wp:inline distT="0" distB="0" distL="0" distR="0">
            <wp:extent cx="49530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BankEff_R Project Memo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</w:pPr>
    <w:r>
      <w:rPr>
        <w:rFonts w:ascii="Arial" w:cs="Arial" w:eastAsia="Arial" w:hAnsi="Arial"/>
        <w:color w:val="666666"/>
        <w:sz w:val="16"/>
        <w:szCs w:val="16"/>
      </w:rPr>
      <w:t xml:space="preserve">BankEff_R  ·  Audience memo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c833a7509c146a5bf0dab9e20a66920a1ae68f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2026-08-29T06:38:33.270Z</dcterms:created>
  <dcterms:modified xsi:type="dcterms:W3CDTF">2026-08-29T06:38:33.270Z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