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Banking performance visual analysis (R / ggplot2)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Problem Statement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Call-Report-style panel lists bank-year-product rows from 1990–2024 with ROA, NIM, efficiency, NPL, assets, charter, and funding mix. The same Cookbook Ch. 2 question as FuelEcon_R: did profitability actually improve, or did the mix of institutions change? An all-rows mean after 2014 is inflated by Fintech / ILC (and some investment-bank) books. Credit, ALM, and the board need a traditional-commercial series, a size-vs-ROA check, and a name-level view — in R.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Solution Strategy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Same pipeline: acquire → import stringsAsFactors = FALSE → explore year/charter tables → repair funding blanks and flags → split–apply–combine year-mean ROA → ggplot2 point+smooth → subset Community+Regional+Money Center → relate log assets to ROA → melt/facet dual series → community boxplots and Core/Wholesale mix → Reduce(intersect) names present every year 1990–2014 → simulation knobs (year cut, include fintech, noise, subsample) → four audience paragraphs.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Solution</w:t>
      </w:r>
    </w:p>
    <w:p>
      <w:pPr>
        <w:spacing w:after="80" w:before="0" w:line="2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Panel: 2,550 rows × 16 columns, 54 banks, 1990–2024. All-institution mean ROA: 1.07% (1990) → 0.48% (2009) → 1.36% (2014) → 1.94% (2024). Traditional commercial only: 1.05% → 0.35% (2009) → 1.14% (2014) → 1.29% (2024). log-assets vs ROA mildly negative. Twelve commercial names appear every year 1990–2014. Community funding stays mostly core deposits after the crisis.</w:t>
      </w:r>
    </w:p>
    <w:p>
      <w:pPr>
        <w:spacing w:after="80" w:before="80"/>
        <w:jc w:val="center"/>
      </w:pPr>
      <w:r>
        <w:drawing>
          <wp:inline distT="0" distB="0" distL="0" distR="0">
            <wp:extent cx="4457700" cy="4705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2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Figure. All-in vs traditional ROA, size scatter and assets over time, community funding mix, unique community names. The red all-in line after 2014 is not a community-bank story.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Never brief pooled ROA without naming Fintech / ILC. Traditional commercial only partially recovered from 2008–09.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Size is not the same as efficiency: larger books print slightly lower ROA in this panel.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Funding mix for community rows is a liquidity story, not a profitability miracle.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Type traps (blank funding, T flags) belong in the lab notebook before the board slide.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Short name: BankEff_R. Teaching panel — not a Call Report filing.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BankEff_R  · 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/>
    </w:pPr>
    <w:r>
      <w:rPr>
        <w:rFonts w:ascii="Arial" w:cs="Arial" w:eastAsia="Arial" w:hAnsi="Arial"/>
        <w:color w:val="666666"/>
        <w:sz w:val="16"/>
        <w:szCs w:val="16"/>
      </w:rPr>
      <w:t xml:space="preserve">BankEff_R  ·  1-Page Summary Report  ·  banks.csv teaching panel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415437b47ec0eb557a7e87595ae1507e5a9b7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2026-08-29T06:38:32.688Z</dcterms:created>
  <dcterms:modified xsi:type="dcterms:W3CDTF">2026-08-29T06:38:32.688Z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