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World’s Top Incomes — application-oriented WTID analysis</w:t>
      </w:r>
    </w:p>
    <w:p>
      <w:pPr>
        <w:spacing w:after="80" w:before="0"/>
      </w:pPr>
      <w:r>
        <w:rPr>
          <w:rFonts w:ascii="Arial" w:cs="Arial" w:eastAsia="Arial" w:hAnsi="Arial"/>
          <w:color w:val="546E7A"/>
          <w:sz w:val="16"/>
          <w:szCs w:val="16"/>
        </w:rPr>
        <w:t xml:space="preserve">Packt Cookbook Ch. 3 extended  ·  Alvaredo / Atkinson / Piketty / Saez WTID extract  ·  26 countries, 1875–2010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</w:rPr>
        <w:t xml:space="preserve">Problem Statement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Tax-record top-income series are wide (354 columns), irregularly missing, and defined on shifting units (adults vs tax units, with/without capital gains). A one-off plot of the U.S. top 1% does not travel: a desk that must refresh the file, compare Spain with the United States, or emit an HTML snapshot needs small reusable pieces, not a notebook of unique cells. The question for this extract is concrete: how did U.S. top shares and group averages move over 1913–2008, and is the post-1980 rise large relative to other WTID countries (the comparison drawn in the 2014 Encrucijadas wage-income graphic)?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</w:rPr>
        <w:t xml:space="preserve">Solution Strategy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Follow the Cookbook application pattern: csv.DictReader generators → country filter → (year, value) time series → compose line / bar / stack helpers → mean-normalize and capital-gains deltas → pandas alternate for the same numbers → Dialnet-style 1980-vs-latest cross-section → endpoint-noise simulation → four-audience write-up. Stay on the excluding-CG headline series unless the lift chart is the point. Record units from notes.csv (U.S. averages are 2008 USD).</w:t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</w:rPr>
        <w:t xml:space="preserve">Solution</w:t>
      </w:r>
    </w:p>
    <w:p>
      <w:pPr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U.S. top 1% share of total fiscal income: 17.96% (1913) → 8.18% (1980) → 18.29% (2007) → 17.67% (2008). Top 10% (from 1917): 40.29% → 32.87% (1980) → 45.51% (2007). Top 0.1%: 8.62% → 2.23% (1980) → 8.23% (2007). Real average income per tax unit: $14.6k → $40.7k → $54.1k → $51.3k. Mean-normalized paths show the upper tail swinging farther than the top decile. Capital-gains lift is cyclical (booms 1999–2000 and mid-2000s). Cross-country total-income Top 1% change ~1980 to latest ≤2010: United States +9.5 pp; Norway +3.2; Ireland +3.7; Sweden +2.7; Italy +2.5; Japan +2.0; France +1.3; Spain +0.9. Direction matches Dialnet; levels differ because that article used wages only.</w:t>
      </w:r>
    </w:p>
    <w:p>
      <w:pPr>
        <w:spacing w:after="80"/>
        <w:jc w:val="center"/>
      </w:pPr>
      <w:r>
        <w:drawing>
          <wp:inline distT="0" distB="0" distL="0" distR="0">
            <wp:extent cx="409575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drawing>
          <wp:inline distT="0" distB="0" distL="0" distR="0">
            <wp:extent cx="409575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00"/>
      </w:pPr>
      <w:r>
        <w:rPr>
          <w:rFonts w:ascii="Arial" w:cs="Arial" w:eastAsia="Arial" w:hAnsi="Arial"/>
          <w:b/>
          <w:bCs/>
        </w:rPr>
        <w:t xml:space="preserve">Key Takeaways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1. The U.S. upper tail recovered its pre-war share by 2007; 2008 cut the last year, not the post-1980 regime.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2. Nested fractiles move together; mean-normalization is what reveals that the top 0.1% is the volatile piece.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3. “Including capital gains” is a different ranking, not a plus-up of the same people — use the lift chart, do not invent a CG residual for a fixed group.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4. Spain’s total-income Top 1% barely moved (+0.9 pp); the U.S. move is an order of magnitude larger on the same file. Measurement noise of 0.3 pp does not erase the U.S. jump and can erase Spain’s.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5. Generators + named helpers are the product: the same functions feed the skeleton drills, the HTML mini-report, and the next country file. Pandas is the audit path, not a competing analysis.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8909C"/>
        <w:sz w:val="16"/>
        <w:szCs w:val="16"/>
      </w:rPr>
      <w:t xml:space="preserve">TopInc_Py  ·  </w:t>
    </w:r>
    <w:r>
      <w:rPr>
        <w:rFonts w:ascii="Arial" w:cs="Arial" w:eastAsia="Arial" w:hAnsi="Arial"/>
        <w:color w:val="78909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8"/>
      </w:pBdr>
      <w:spacing w:after="80"/>
    </w:pPr>
    <w:r>
      <w:rPr>
        <w:rFonts w:ascii="Arial" w:cs="Arial" w:eastAsia="Arial" w:hAnsi="Arial"/>
        <w:b/>
        <w:bCs/>
        <w:color w:val="1F4E79"/>
        <w:sz w:val="16"/>
        <w:szCs w:val="16"/>
      </w:rPr>
      <w:t xml:space="preserve">TopInc_Py  ·  1-page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604199b06bcc89cd043c6e0cf6e028e72e72652.png"/><Relationship Id="rId10" Type="http://schemas.openxmlformats.org/officeDocument/2006/relationships/image" Target="media/bcaacab882ba966aac57d50f0681d74aae533ef2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2026-08-29T06:48:20.199Z</dcterms:created>
  <dcterms:modified xsi:type="dcterms:W3CDTF">2026-08-29T06:48:20.199Z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