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TopInc_Py cheatsheet — keep beside the skeleton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Short name: TopInc_Py. File: data/income_dist.csv (2,180 × 354). Source: WTID / Packt Ch. 3.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Load and stream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import csv, pathlib, numpy, pandas, matplotlib.pyplot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with open(path, newline='') as f:  rows = list(csv.DictReader(f))   # 2180 dicts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def dataset(path, field=None, value=None):  yield filtered or all rows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pandas audit: df = pd.read_csv(path); us = df.query("Country == 'United States'")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Casting and time series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Blank cells are '' not NA. float('') raises. Helper: return None on empty / non-numeric.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timeseries(rows, col) -&gt; (int year, float value) skipping blanks.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Align two series on the intersection of years before subtracting (capital-gains lift).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Cookbook charts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7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 / method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Avg income bars</w:t>
            </w:r>
          </w:p>
        </w:tc>
        <w:tc>
          <w:tcPr>
            <w:tcW w:type="dxa" w:w="7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Average income per tax unit  ·  US 1913–2008  ·  2008 USD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lines</w:t>
            </w:r>
          </w:p>
        </w:tc>
        <w:tc>
          <w:tcPr>
            <w:tcW w:type="dxa" w:w="7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 10/5/1/0.5/0.1% income share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Mean-normalized</w:t>
            </w:r>
          </w:p>
        </w:tc>
        <w:tc>
          <w:tcPr>
            <w:tcW w:type="dxa" w:w="7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/ series.mean()   1.0 = historical average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CG lift</w:t>
            </w:r>
          </w:p>
        </w:tc>
        <w:tc>
          <w:tcPr>
            <w:tcW w:type="dxa" w:w="7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 including CG − share excluding CG  (pp)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Group averages</w:t>
            </w:r>
          </w:p>
        </w:tc>
        <w:tc>
          <w:tcPr>
            <w:tcW w:type="dxa" w:w="7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 k% average income  (2008 USD)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Composition stack</w:t>
            </w:r>
          </w:p>
        </w:tc>
        <w:tc>
          <w:tcPr>
            <w:tcW w:type="dxa" w:w="7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 10% wages, dividends, interest, rents, entrepreneurial</w:t>
            </w:r>
          </w:p>
        </w:tc>
      </w:tr>
    </w:tbl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Numbers to memorize (this extract)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1800"/>
        <w:gridCol w:w="1800"/>
      </w:tblGrid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Series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1913/17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1980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2007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2008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 Top 10% share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40.29 (1917)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32.87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45.51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45.60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 Top 1% share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17.96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8.18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18.29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17.67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 Top 0.1% share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8.62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2.23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8.23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7.77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 avg / tax unit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14,602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40,748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54,080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51,255</w:t>
            </w:r>
          </w:p>
        </w:tc>
      </w:tr>
    </w:tbl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R one-liners (Cookbook last recipe)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id2 &lt;- read.csv('data/income_dist.csv', header=TRUE, check.names=FALSE)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id_us &lt;- id2[id2$Country=='United States', 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plot.ts(ts(id_us[, share_cols], start=1913, frequency=1), plot.type='single')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Never forget check.names=FALSE — otherwise % and spaces become dots and the Cookbook column strings miss.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Gotchas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354 columns; many empty. Do not treat NaN Country from np.recfromcsv as real data — quoted commas in headers break genfromtxt.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UK headline 'Top 1% income share' is sparse; use -tax units / -adults. Write best_top1_col().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Including-CG fractiles are re-ranked. Delta is a lift of shares, not CG of a fixed group.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Dialnet 2014 is wage-only; this file’s headline series is total fiscal income.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• notes.csv holds units and income-control definitions — read it before quoting a dollar figure.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8909C"/>
        <w:sz w:val="16"/>
        <w:szCs w:val="16"/>
      </w:rPr>
      <w:t xml:space="preserve">TopInc_Py  · 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/>
      </w:pBdr>
      <w:spacing w:after="80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TopInc_Py  · 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2026-08-29T06:48:20.542Z</dcterms:created>
  <dcterms:modified xsi:type="dcterms:W3CDTF">2026-08-29T06:48:20.542Z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