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00"/>
      </w:pPr>
      <w:r>
        <w:rPr>
          <w:rFonts w:ascii="Arial" w:cs="Arial" w:eastAsia="Arial" w:hAnsi="Arial"/>
          <w:b/>
          <w:bCs/>
        </w:rPr>
        <w:t xml:space="preserve">Project memo — World Top Incomes extract</w:t>
      </w:r>
    </w:p>
    <w:p>
      <w:pPr>
        <w:spacing w:after="120" w:before="0"/>
      </w:pPr>
      <w:r>
        <w:rPr>
          <w:rFonts w:ascii="Arial" w:cs="Arial" w:eastAsia="Arial" w:hAnsi="Arial"/>
          <w:sz w:val="22"/>
          <w:szCs w:val="22"/>
        </w:rPr>
        <w:t xml:space="preserve">To: inequality / public-finance desk, data engineering, investment committee, general readers</w:t>
      </w:r>
    </w:p>
    <w:p>
      <w:pPr>
        <w:spacing w:after="120" w:before="0"/>
      </w:pPr>
      <w:r>
        <w:rPr>
          <w:rFonts w:ascii="Arial" w:cs="Arial" w:eastAsia="Arial" w:hAnsi="Arial"/>
          <w:sz w:val="22"/>
          <w:szCs w:val="22"/>
        </w:rPr>
        <w:t xml:space="preserve">From: TopInc_Py teaching project  ·  Re: Packt Ch. 3 WTID pipeline plus Dialnet comparison</w:t>
      </w:r>
    </w:p>
    <w:p>
      <w:pPr>
        <w:spacing w:after="120" w:before="0"/>
      </w:pPr>
      <w:r>
        <w:rPr>
          <w:rFonts w:ascii="Arial" w:cs="Arial" w:eastAsia="Arial" w:hAnsi="Arial"/>
          <w:sz w:val="22"/>
          <w:szCs w:val="22"/>
        </w:rPr>
        <w:t xml:space="preserve">This memo restates one finding four ways, using the audience types in McMurrey (experts / technicians / executives / nonspecialists) and Jočys’s data-literacy / subject-knowledge checklist. The finding: on the WTID extract in data/income_dist.csv, the U.S. top 1% share of total fiscal income (fractiles excluding capital gains) rose from 8.18% in 1980 to 18.29% in 2007.</w:t>
      </w:r>
    </w:p>
    <w:p>
      <w:pPr>
        <w:pStyle w:val="Heading1"/>
        <w:spacing w:after="120" w:before="200"/>
      </w:pPr>
      <w:r>
        <w:rPr>
          <w:rFonts w:ascii="Arial" w:cs="Arial" w:eastAsia="Arial" w:hAnsi="Arial"/>
          <w:b/>
          <w:bCs/>
        </w:rPr>
        <w:t xml:space="preserve">Expert (public-finance / inequality)</w:t>
      </w:r>
    </w:p>
    <w:p>
      <w:pPr>
        <w:spacing w:after="120" w:before="0"/>
      </w:pPr>
      <w:r>
        <w:rPr>
          <w:rFonts w:ascii="Arial" w:cs="Arial" w:eastAsia="Arial" w:hAnsi="Arial"/>
          <w:sz w:val="22"/>
          <w:szCs w:val="22"/>
        </w:rPr>
        <w:t xml:space="preserve">Fractiles are defined on tax-unit total income excluding capital gains; the parallel including-CG series is a different ranking and is reserved for the lift chart. The U.S. path is the canonical U-shape (17.96% in 1913, 8.18% in 1980, 18.29% in 2007, 17.67% in 2008). Nested shares (10 / 5 / 1 / 0.5 / 0.1) fall and rise together; mean-normalization shows amplitude increasing toward the tip of the tail. On the same file, Spain’s top 1% share moves from 7.75% (1982) to 8.61% (2008). That ranking — United States several times Spain or France — survives the switch from Dialnet’s wage-only concept to WTID total income, though the exact points differ. Pareto-Lorenz b is on the file if a tail-thickness companion is required. Do not interpret 2008 as a regime change; it is one crisis year.</w:t>
      </w:r>
    </w:p>
    <w:p>
      <w:pPr>
        <w:pStyle w:val="Heading1"/>
        <w:spacing w:after="120" w:before="200"/>
      </w:pPr>
      <w:r>
        <w:rPr>
          <w:rFonts w:ascii="Arial" w:cs="Arial" w:eastAsia="Arial" w:hAnsi="Arial"/>
          <w:b/>
          <w:bCs/>
        </w:rPr>
        <w:t xml:space="preserve">Technician (pipeline / refresh)</w:t>
      </w:r>
    </w:p>
    <w:p>
      <w:pPr>
        <w:spacing w:after="120" w:before="0"/>
      </w:pPr>
      <w:r>
        <w:rPr>
          <w:rFonts w:ascii="Arial" w:cs="Arial" w:eastAsia="Arial" w:hAnsi="Arial"/>
          <w:sz w:val="22"/>
          <w:szCs w:val="22"/>
        </w:rPr>
        <w:t xml:space="preserve">Input is data/income_dist.csv, 2,180 rows, 354 columns, notes in data/notes.csv. Filter on Country == 'United States'. The working column is exactly 'Top 1% income share'. Blanks are empty strings; cast through a helper or pandas will float them to NaN. Generators in TopInc_Py.py (dataset, timeseries, normalize, delta) are the refresh surface — do not paste a new notebook for a new country. np.recfromcsv will destroy Country and split quoted headers; do not use it. R users must pass check.names=FALSE. United Kingdom headline top-1% is mostly empty; pick the suffix column with the most non-missing cells. Average-income columns are real 2008 USD for the United States. Re-run the simulation cell if a reviewer asks whether ±0.3 pp noise can produce the 1980–2007 jump (it cannot).</w:t>
      </w:r>
    </w:p>
    <w:p>
      <w:pPr>
        <w:pStyle w:val="Heading1"/>
        <w:spacing w:after="120" w:before="200"/>
      </w:pPr>
      <w:r>
        <w:rPr>
          <w:rFonts w:ascii="Arial" w:cs="Arial" w:eastAsia="Arial" w:hAnsi="Arial"/>
          <w:b/>
          <w:bCs/>
        </w:rPr>
        <w:t xml:space="preserve">Executive (committee)</w:t>
      </w:r>
    </w:p>
    <w:p>
      <w:pPr>
        <w:spacing w:after="120" w:before="0"/>
      </w:pPr>
      <w:r>
        <w:rPr>
          <w:rFonts w:ascii="Arial" w:cs="Arial" w:eastAsia="Arial" w:hAnsi="Arial"/>
          <w:sz w:val="22"/>
          <w:szCs w:val="22"/>
        </w:rPr>
        <w:t xml:space="preserve">In 1980 the top hundredth of U.S. tax units received about eight cents of every income dollar. In 2007 they received about eighteen cents. That ten-point rise is the large number on this file. Spain, France, and Japan on the same database moved one to two points over a similar window. Average income inside the top 0.1% pulled into the millions of 2008 dollars after 1980 while the top-decile average rose far less. 2008 lowered the last observation; it did not put the series back on the 1970s plateau. Capital gains make the picture jumpy year to year — the headline series used here leaves them out so the labor-plus-ordinary-capital path is readable. This is a description of fiscal-income concentration, not a tax recommendation.</w:t>
      </w:r>
    </w:p>
    <w:p>
      <w:pPr>
        <w:pStyle w:val="Heading1"/>
        <w:spacing w:after="120" w:before="200"/>
      </w:pPr>
      <w:r>
        <w:rPr>
          <w:rFonts w:ascii="Arial" w:cs="Arial" w:eastAsia="Arial" w:hAnsi="Arial"/>
          <w:b/>
          <w:bCs/>
        </w:rPr>
        <w:t xml:space="preserve">Nonspecialist</w:t>
      </w:r>
    </w:p>
    <w:p>
      <w:pPr>
        <w:spacing w:after="120" w:before="0"/>
      </w:pPr>
      <w:r>
        <w:rPr>
          <w:rFonts w:ascii="Arial" w:cs="Arial" w:eastAsia="Arial" w:hAnsi="Arial"/>
          <w:sz w:val="22"/>
          <w:szCs w:val="22"/>
        </w:rPr>
        <w:t xml:space="preserve">Researchers add up tax records to see how much of all income goes to the highest-earning 1% of households. In the United States that group’s slice was a little more than 8% in 1980 and about 18% in 2007. Other rich countries in the same historical file also saw the top slice grow, but by a few points rather than ten. Think of it as the gap between ordinary incomes and the very top getting wider in the U.S. over those 27 years. The charts in the notebook are just that story drawn as lines.</w:t>
      </w:r>
    </w:p>
    <w:p>
      <w:pPr>
        <w:pStyle w:val="Heading1"/>
        <w:spacing w:after="120" w:before="200"/>
      </w:pPr>
      <w:r>
        <w:rPr>
          <w:rFonts w:ascii="Arial" w:cs="Arial" w:eastAsia="Arial" w:hAnsi="Arial"/>
          <w:b/>
          <w:bCs/>
        </w:rPr>
        <w:t xml:space="preserve">Situation (why the document exists)</w:t>
      </w:r>
    </w:p>
    <w:p>
      <w:pPr>
        <w:spacing w:after="120" w:before="0"/>
      </w:pPr>
      <w:r>
        <w:rPr>
          <w:rFonts w:ascii="Arial" w:cs="Arial" w:eastAsia="Arial" w:hAnsi="Arial"/>
          <w:sz w:val="22"/>
          <w:szCs w:val="22"/>
        </w:rPr>
        <w:t xml:space="preserve">Primary reader: a collaborator who wants the conversation agenda (what moved, by how much, versus whom). Secondary: an executive who will only take the headline and one comparison country. Technical supervisor: helpers, missingness, unit notes, and the simulation. Appendix-level detail (354-column dictionary, income-control text) stays in notes.csv rather than in this memo.</w:t>
      </w:r>
    </w:p>
    <w:p>
      <w:pPr>
        <w:pStyle w:val="Heading1"/>
        <w:spacing w:after="120" w:before="200"/>
      </w:pPr>
      <w:r>
        <w:rPr>
          <w:rFonts w:ascii="Arial" w:cs="Arial" w:eastAsia="Arial" w:hAnsi="Arial"/>
          <w:b/>
          <w:bCs/>
        </w:rPr>
        <w:t xml:space="preserve">Limitations (say them once)</w:t>
      </w:r>
    </w:p>
    <w:p>
      <w:pPr>
        <w:spacing w:after="120" w:before="0"/>
      </w:pPr>
      <w:r>
        <w:rPr>
          <w:rFonts w:ascii="Arial" w:cs="Arial" w:eastAsia="Arial" w:hAnsi="Arial"/>
          <w:sz w:val="22"/>
          <w:szCs w:val="22"/>
        </w:rPr>
        <w:t xml:space="preserve">Fiscal income is not national accounts; non-filers and untaxed income are outside the frame. Country series start in different years and use different units. Wage-only graphics cannot be reproduced 1:1 from the headline columns. The extract ends in 2008–2010 depending on the country.</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8909C"/>
        <w:sz w:val="16"/>
        <w:szCs w:val="16"/>
      </w:rPr>
      <w:t xml:space="preserve">TopInc_Py  ·  </w:t>
    </w:r>
    <w:r>
      <w:rPr>
        <w:rFonts w:ascii="Arial" w:cs="Arial" w:eastAsia="Arial" w:hAnsi="Arial"/>
        <w:color w:val="7890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pBdr>
      <w:spacing w:after="80"/>
    </w:pPr>
    <w:r>
      <w:rPr>
        <w:rFonts w:ascii="Arial" w:cs="Arial" w:eastAsia="Arial" w:hAnsi="Arial"/>
        <w:b/>
        <w:bCs/>
        <w:color w:val="1F4E79"/>
        <w:sz w:val="16"/>
        <w:szCs w:val="16"/>
      </w:rPr>
      <w:t xml:space="preserve">TopInc_Py  ·  Project memo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2026-08-29T06:48:20.761Z</dcterms:created>
  <dcterms:modified xsi:type="dcterms:W3CDTF">2026-08-29T06:48:20.762Z</dcterms:modified>
</cp:coreProperties>
</file>

<file path=docProps/custom.xml><?xml version="1.0" encoding="utf-8"?>
<Properties xmlns="http://schemas.openxmlformats.org/officeDocument/2006/custom-properties" xmlns:vt="http://schemas.openxmlformats.org/officeDocument/2006/docPropsVTypes"/>
</file>