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Statement</w:t>
      </w:r>
    </w:p>
    <w:p>
      <w:pPr>
        <w:spacing w:after="45"/>
      </w:pPr>
      <w:r>
        <w:rPr>
          <w:rFonts w:ascii="Calibri" w:cs="Calibri" w:eastAsia="Calibri" w:hAnsi="Calibri"/>
          <w:sz w:val="16"/>
          <w:szCs w:val="16"/>
        </w:rPr>
        <w:t xml:space="preserve">You are an analyst in the Credit Risk / Asset-Liability Management team at Apex National Bank. Senior management and the regulator need a clear, reproducible measure of how fast the bank’s total loan portfolio has grown over the last two decades. This figure informs capital planning, stress-testing assumptions and ICAAP discussions.</w:t>
      </w:r>
    </w:p>
    <w:p>
      <w:pPr>
        <w:pStyle w:val="Heading1"/>
      </w:pPr>
      <w:r>
        <w:t xml:space="preserve">Solution Strategy</w:t>
      </w:r>
    </w:p>
    <w:p>
      <w:pPr>
        <w:spacing w:after="45"/>
      </w:pPr>
      <w:r>
        <w:rPr>
          <w:rFonts w:ascii="Calibri" w:cs="Calibri" w:eastAsia="Calibri" w:hAnsi="Calibri"/>
          <w:sz w:val="16"/>
          <w:szCs w:val="16"/>
        </w:rPr>
        <w:t xml:space="preserve">1. Store bank name and the two endpoint loan-portfolio values in variables.  2. Compute absolute change, convert to percentage growth, then divide by elapsed years (arithmetic mean).  3. Wrap the calculation in a reusable function that prints a narrative sentence suitable for a risk report.  4. Provide vector / data-frame alternates and the geometric (CAGR) rate preferred by risk managers.  5. Add a simulation block so parameters can be changed for target-setting or stress scenarios.</w:t>
      </w:r>
    </w:p>
    <w:p>
      <w:pPr>
        <w:pStyle w:val="Heading1"/>
      </w:pPr>
      <w:r>
        <w:t xml:space="preserve">Solution — Key R Snippets</w:t>
      </w:r>
    </w:p>
    <w:p>
      <w:pPr>
        <w:spacing w:after="30"/>
      </w:pPr>
      <w:r>
        <w:rPr>
          <w:rFonts w:ascii="Calibri" w:cs="Calibri" w:eastAsia="Calibri" w:hAnsi="Calibri"/>
          <w:sz w:val="16"/>
          <w:szCs w:val="16"/>
        </w:rPr>
        <w:t xml:space="preserve">Core result (2005–2025): Absolute change = $114,200 m; percentage growth ≈ 402 %; arithmetic annual ≈ 20.11 %/yr. Geometric / CAGR (preferred) ≈ 8.40 %/yr.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Variable creation &amp; arithmetic: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bank_name      &lt;- "Apex National Bank"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loans_year_one &lt;- 28400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loans_year_two &lt;- 142600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loan_change    &lt;- loans_year_two - loans_year_one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percentage_gr  &lt;- (loan_change / loans_year_one) * 100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annual_gr      &lt;- percentage_gr / (2025 - 2005)   # ≈ 20.11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5"/>
          <w:szCs w:val="15"/>
        </w:rPr>
        <w:t xml:space="preserve">Function call (produces the risk narrative):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result &lt;- calculate_annual_growth(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year_one = 2005, year_two = 2025,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value_y1 = loans_year_one, value_y2 = loans_year_two,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entity = bank_name)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4"/>
          <w:szCs w:val="14"/>
        </w:rPr>
        <w:t xml:space="preserve">→ “From 2005 to 2025 the loan portfolio of Apex National Bank grew by approximately 20.1056 % each year.”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Geometric / CAGR (use this for capital planning):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cagr &lt;- (142600 / 28400)^(1/20) - 1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print(cagr * 100)   # ≈ 8.40</w:t>
      </w:r>
    </w:p>
    <w:p>
      <w:pPr>
        <w:spacing w:after="15" w:before="30"/>
        <w:jc w:val="center"/>
      </w:pPr>
      <w:r>
        <w:drawing>
          <wp:inline distT="0" distB="0" distL="0" distR="0">
            <wp:extent cx="3524250" cy="2047875"/>
            <wp:effectExtent t="0" r="0" b="0" l="0"/>
            <wp:docPr id="1" descr="Loan portfolio chart" title="Loan Grow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2"/>
          <w:szCs w:val="12"/>
        </w:rPr>
        <w:t xml:space="preserve">Figure: Apex National Bank total loans 2005–2025. Period rates: 2012–2019 ≈ 8.43 %/yr; 2019–2025 ≈ 7.54 %/yr.</w:t>
      </w:r>
    </w:p>
    <w:p>
      <w:pPr>
        <w:spacing w:after="15" w:before="15"/>
        <w:jc w:val="center"/>
      </w:pPr>
      <w:r>
        <w:drawing>
          <wp:inline distT="0" distB="0" distL="0" distR="0">
            <wp:extent cx="2190750" cy="3286125"/>
            <wp:effectExtent t="0" r="0" b="0" l="0"/>
            <wp:docPr id="1" descr="Pipeline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2"/>
          <w:szCs w:val="12"/>
        </w:rPr>
        <w:t xml:space="preserve">Figure: R Syntax Bank Loan Growth Pipeline.</w:t>
      </w:r>
    </w:p>
    <w:p>
      <w:pPr>
        <w:pStyle w:val="Heading1"/>
      </w:pPr>
      <w:r>
        <w:t xml:space="preserve">Key Takeaways</w:t>
      </w:r>
    </w:p>
    <w:p>
      <w:pPr>
        <w:spacing w:after="45"/>
      </w:pPr>
      <w:r>
        <w:rPr>
          <w:rFonts w:ascii="Calibri" w:cs="Calibri" w:eastAsia="Calibri" w:hAnsi="Calibri"/>
          <w:sz w:val="16"/>
          <w:szCs w:val="16"/>
        </w:rPr>
        <w:t xml:space="preserve">• Variables + arithmetic + paste() turn raw balance-sheet numbers into an actionable growth narrative for risk committees.</w:t>
      </w:r>
    </w:p>
    <w:p>
      <w:pPr>
        <w:spacing w:after="45"/>
      </w:pPr>
      <w:r>
        <w:rPr>
          <w:rFonts w:ascii="Calibri" w:cs="Calibri" w:eastAsia="Calibri" w:hAnsi="Calibri"/>
          <w:sz w:val="16"/>
          <w:szCs w:val="16"/>
        </w:rPr>
        <w:t xml:space="preserve">• Named function arguments make the logic reusable across banks, product books or time windows.</w:t>
      </w:r>
    </w:p>
    <w:p>
      <w:pPr>
        <w:spacing w:after="45"/>
      </w:pPr>
      <w:r>
        <w:rPr>
          <w:rFonts w:ascii="Calibri" w:cs="Calibri" w:eastAsia="Calibri" w:hAnsi="Calibri"/>
          <w:sz w:val="16"/>
          <w:szCs w:val="16"/>
        </w:rPr>
        <w:t xml:space="preserve">• Arithmetic averages are easy but overstate long-horizon growth; risk teams almost always prefer CAGR for ICAAP and stress testing.</w:t>
      </w:r>
    </w:p>
    <w:p>
      <w:pPr>
        <w:spacing w:after="45"/>
      </w:pPr>
      <w:r>
        <w:rPr>
          <w:rFonts w:ascii="Calibri" w:cs="Calibri" w:eastAsia="Calibri" w:hAnsi="Calibri"/>
          <w:sz w:val="16"/>
          <w:szCs w:val="16"/>
        </w:rPr>
        <w:t xml:space="preserve">• A parameterised simulation cell lets planners explore target loan-book sizes or stress scenarios without rewriting core code.</w:t>
      </w:r>
    </w:p>
    <w:p>
      <w:pPr>
        <w:spacing w:after="45"/>
      </w:pPr>
      <w:r>
        <w:rPr>
          <w:rFonts w:ascii="Calibri" w:cs="Calibri" w:eastAsia="Calibri" w:hAnsi="Calibri"/>
          <w:sz w:val="16"/>
          <w:szCs w:val="16"/>
        </w:rPr>
        <w:t xml:space="preserve">• Audience note: for executives keep the CAGR + one-sentence narrative prominent; for technical risk staff expose both methods and intermediate variables.</w:t>
      </w:r>
    </w:p>
    <w:sectPr>
      <w:headerReference w:type="default" r:id="rId7"/>
      <w:footerReference w:type="default" r:id="rId8"/>
      <w:pgSz w:w="12240" w:h="15840" w:orient="portrait"/>
      <w:pgMar w:top="480" w:right="620" w:bottom="4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2"/>
        <w:szCs w:val="12"/>
      </w:rPr>
      <w:t xml:space="preserve">1-Page Summary Report  •  Page </w:t>
    </w:r>
    <w:r>
      <w:rPr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66666"/>
        <w:sz w:val="12"/>
        <w:szCs w:val="12"/>
      </w:rPr>
      <w:t xml:space="preserve">Bank Loan Growth R Syntax — Apex National Bank</w:t>
    </w:r>
    <w:r>
      <w:rPr>
        <w:rFonts w:ascii="Calibri" w:cs="Calibri" w:eastAsia="Calibri" w:hAnsi="Calibri"/>
        <w:color w:val="999999"/>
        <w:sz w:val="12"/>
        <w:szCs w:val="12"/>
      </w:rPr>
      <w:t xml:space="preserve">  |  Credit Risk / ALM Practice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35" w:before="90"/>
    </w:pPr>
    <w:rPr>
      <w:rFonts w:ascii="Calibri" w:cs="Calibri" w:eastAsia="Calibri" w:hAnsi="Calibri"/>
      <w:b/>
      <w:bCs/>
      <w:color w:val="0A4D6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310ef0b6da6005ba2266b37ffade41e7a16226.png"/><Relationship Id="rId10" Type="http://schemas.openxmlformats.org/officeDocument/2006/relationships/image" Target="media/c1913049bb8ef364198a2ca1a56311897cd4164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2026-08-19T15:11:30.689Z</dcterms:created>
  <dcterms:modified xsi:type="dcterms:W3CDTF">2026-08-19T15:11:30.689Z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