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</w:pPr>
      <w:r>
        <w:rPr>
          <w:b/>
          <w:bCs/>
        </w:rPr>
        <w:t xml:space="preserve">TO:		</w:t>
      </w:r>
      <w:r>
        <w:t xml:space="preserve">Credit Risk, ALM, Finance &amp; Model-Validation Teams</w:t>
      </w:r>
    </w:p>
    <w:p>
      <w:pPr>
        <w:spacing w:after="35"/>
      </w:pPr>
      <w:r>
        <w:rPr>
          <w:b/>
          <w:bCs/>
        </w:rPr>
        <w:t xml:space="preserve">FROM:	</w:t>
      </w:r>
      <w:r>
        <w:t xml:space="preserve">Analytics Capability Building Unit</w:t>
      </w:r>
    </w:p>
    <w:p>
      <w:pPr>
        <w:spacing w:after="35"/>
      </w:pPr>
      <w:r>
        <w:rPr>
          <w:b/>
          <w:bCs/>
        </w:rPr>
        <w:t xml:space="preserve">DATE:	</w:t>
      </w:r>
      <w:r>
        <w:t xml:space="preserve">19 August 2026</w:t>
      </w:r>
    </w:p>
    <w:p>
      <w:pPr>
        <w:spacing w:after="110"/>
      </w:pPr>
      <w:r>
        <w:rPr>
          <w:b/>
          <w:bCs/>
        </w:rPr>
        <w:t xml:space="preserve">RE:		</w:t>
      </w:r>
      <w:r>
        <w:rPr>
          <w:b/>
          <w:bCs/>
        </w:rPr>
        <w:t xml:space="preserve">Extended Practice Project — Introduction to R Syntax (Bank Loan Portfolio Growth)</w:t>
      </w:r>
    </w:p>
    <w:p>
      <w:pPr>
        <w:pStyle w:val="Heading1"/>
      </w:pPr>
      <w:r>
        <w:t xml:space="preserve">Purpose</w:t>
      </w:r>
    </w:p>
    <w:p>
      <w:pPr>
        <w:spacing w:after="100"/>
      </w:pPr>
      <w:r>
        <w:t xml:space="preserve">This memo accompanies the extended “Introduction to R Syntax — Banking Edition” learning package. The package teaches foundational R skills through a realistic commercial-banking scenario: quantifying the historical growth of Apex National Bank’s total loan portfolio so that capital-planning and stress-testing assumptions can be grounded in evidence.</w:t>
      </w:r>
    </w:p>
    <w:p>
      <w:pPr>
        <w:pStyle w:val="Heading1"/>
      </w:pPr>
      <w:r>
        <w:t xml:space="preserve">Narrative of the Project</w:t>
      </w:r>
    </w:p>
    <w:p>
      <w:pPr>
        <w:spacing w:after="70"/>
      </w:pPr>
      <w:r>
        <w:t xml:space="preserve">Apex National Bank’s total loans grew from $28.4 billion in 2005 to $142.6 billion in 2025. For a risk or ALM analyst the raw numbers are less useful than a clear, reproducible measure of average annual growth. The exercise asks learners to:</w:t>
      </w:r>
    </w:p>
    <w:p>
      <w:pPr>
        <w:spacing w:after="35"/>
      </w:pPr>
      <w:r>
        <w:t xml:space="preserve">1. Capture the bank name and the two endpoint loan-portfolio values in well-named R variables.</w:t>
      </w:r>
    </w:p>
    <w:p>
      <w:pPr>
        <w:spacing w:after="35"/>
      </w:pPr>
      <w:r>
        <w:t xml:space="preserve">2. Compute absolute change, convert it to a percentage, and divide by the 20-year span—thereby practising arithmetic operators and parentheses.</w:t>
      </w:r>
    </w:p>
    <w:p>
      <w:pPr>
        <w:spacing w:after="70"/>
      </w:pPr>
      <w:r>
        <w:t xml:space="preserve">3. Call a supplied helper function that returns the rate and prints a human-readable sentence suitable for a risk-committee pack or ICAAP document.</w:t>
      </w:r>
    </w:p>
    <w:p>
      <w:pPr>
        <w:spacing w:after="70"/>
      </w:pPr>
      <w:r>
        <w:t xml:space="preserve">Because the arithmetic average over two decades inflates the apparent yearly rate (~20 %), the solution notebook also demonstrates the geometrically correct CAGR (~8.4 %). This contrast itself becomes a teaching moment about method choice and audience communication—exactly the discussion that occurs when risk managers challenge growth assumptions in stress-testing models.</w:t>
      </w:r>
    </w:p>
    <w:p>
      <w:pPr>
        <w:spacing w:after="70"/>
      </w:pPr>
      <w:r>
        <w:t xml:space="preserve">The package deliberately mirrors the dual-audience reality of banking work. Analysts and model validators need transparent intermediate steps and alternative implementations (vectors, data frames, CAGR formula). Senior risk officers and the Board Risk Committee need a one-sentence headline and a clean chart. The 1-page summary report and the simulation cell address both needs.</w:t>
      </w:r>
    </w:p>
    <w:p>
      <w:pPr>
        <w:pStyle w:val="Heading1"/>
      </w:pPr>
      <w:r>
        <w:t xml:space="preserve">Deliverables Included</w:t>
      </w:r>
    </w:p>
    <w:p>
      <w:pPr>
        <w:spacing w:after="30"/>
      </w:pPr>
      <w:r>
        <w:t xml:space="preserve">• Bank_Loan_Growth_R_Syntax_Practice_Skeleton.ipynb — step-by-step markdown instructions with “YOUR CODE HERE” cells, flowchart, alternate challenges, more-practice drills, and a tunable simulation block.</w:t>
      </w:r>
    </w:p>
    <w:p>
      <w:pPr>
        <w:spacing w:after="30"/>
      </w:pPr>
      <w:r>
        <w:t xml:space="preserve">• Bank_Loan_Growth_R_Syntax_Solution.ipynb — complete reference solutions, four alternate coding styles, answered practice items, and pre-populated simulation.</w:t>
      </w:r>
    </w:p>
    <w:p>
      <w:pPr>
        <w:spacing w:after="30"/>
      </w:pPr>
      <w:r>
        <w:t xml:space="preserve">• Bank_Loan_Growth_R_Syntax_Cheatsheet.docx — one-page command reference covering assignment, arithmetic, paste(), functions, vectors, data frames and the key growth / CAGR formulas.</w:t>
      </w:r>
    </w:p>
    <w:p>
      <w:pPr>
        <w:spacing w:after="30"/>
      </w:pPr>
      <w:r>
        <w:t xml:space="preserve">• Bank_Loan_Growth_R_Syntax_1Page_Summary_Report.docx — Problem / Strategy / Solution / Key Takeaways structure with embedded loan-growth chart and pipeline flowchart.</w:t>
      </w:r>
    </w:p>
    <w:p>
      <w:pPr>
        <w:spacing w:after="70"/>
      </w:pPr>
      <w:r>
        <w:t xml:space="preserve">• Supporting assets: bank_loan_growth_flowchart.png, bank_loan_portfolio_chart.png.</w:t>
      </w:r>
    </w:p>
    <w:p>
      <w:pPr>
        <w:pStyle w:val="Heading1"/>
      </w:pPr>
      <w:r>
        <w:t xml:space="preserve">Audience Adaptation Notes</w:t>
      </w:r>
    </w:p>
    <w:p>
      <w:pPr>
        <w:spacing w:after="50"/>
      </w:pPr>
      <w:r>
        <w:t xml:space="preserve">Drawing on standard audience-analysis guidance for technical and risk communication:</w:t>
      </w:r>
    </w:p>
    <w:p>
      <w:pPr>
        <w:spacing w:after="35"/>
      </w:pPr>
      <w:r>
        <w:rPr>
          <w:b/>
          <w:bCs/>
        </w:rPr>
        <w:t xml:space="preserve">Data literacy &amp; subject knowledge: </w:t>
      </w:r>
      <w:r>
        <w:t xml:space="preserve">Most participants will be junior-to-mid credit-risk or ALM analysts with moderate R exposure. The skeleton therefore stays at the level of variables and basic arithmetic; the CAGR discussion is presented as essential enrichment rather than an optional extra.</w:t>
      </w:r>
    </w:p>
    <w:p>
      <w:pPr>
        <w:spacing w:after="35"/>
      </w:pPr>
      <w:r>
        <w:rPr>
          <w:b/>
          <w:bCs/>
        </w:rPr>
        <w:t xml:space="preserve">Time span &amp; mixed audiences: </w:t>
      </w:r>
      <w:r>
        <w:t xml:space="preserve">The 1-page report is deliberately skim-friendly for CRO / Board audiences (headline CAGR + chart + three takeaways). The notebooks retain full intermediate output for model validators who will inspect code quality and reproducibility.</w:t>
      </w:r>
    </w:p>
    <w:p>
      <w:pPr>
        <w:spacing w:after="70"/>
      </w:pPr>
      <w:r>
        <w:rPr>
          <w:b/>
          <w:bCs/>
        </w:rPr>
        <w:t xml:space="preserve">Non-math / non-chart readers: </w:t>
      </w:r>
      <w:r>
        <w:t xml:space="preserve">The function’s printed narrative sentence supplies a prose pathway that does not require reading a table or axis—useful when the same number is dropped into a Word-based risk committee pack.</w:t>
      </w:r>
    </w:p>
    <w:p>
      <w:pPr>
        <w:pStyle w:val="Heading1"/>
      </w:pPr>
      <w:r>
        <w:t xml:space="preserve">Recommended Use</w:t>
      </w:r>
    </w:p>
    <w:p>
      <w:pPr>
        <w:spacing w:after="30"/>
      </w:pPr>
      <w:r>
        <w:t xml:space="preserve">1. Learners complete the Practice Skeleton (target 45–60 min).</w:t>
      </w:r>
    </w:p>
    <w:p>
      <w:pPr>
        <w:spacing w:after="30"/>
      </w:pPr>
      <w:r>
        <w:t xml:space="preserve">2. They consult the Solution only after attempting each block.</w:t>
      </w:r>
    </w:p>
    <w:p>
      <w:pPr>
        <w:spacing w:after="30"/>
      </w:pPr>
      <w:r>
        <w:t xml:space="preserve">3. Instructors use the simulation cell live to illustrate sensitivity of the arithmetic rate to time-window length and to demonstrate target-setting (“what CAGR is required to reach $180 bn by 2030?”).</w:t>
      </w:r>
    </w:p>
    <w:p>
      <w:pPr>
        <w:spacing w:after="70"/>
      </w:pPr>
      <w:r>
        <w:t xml:space="preserve">4. The 1-page report can be handed to managers as evidence that the training produces immediately usable analytic artefacts for capital planning.</w:t>
      </w:r>
    </w:p>
    <w:p>
      <w:pPr>
        <w:pStyle w:val="Heading1"/>
      </w:pPr>
      <w:r>
        <w:t xml:space="preserve">Next Steps</w:t>
      </w:r>
    </w:p>
    <w:p>
      <w:pPr>
        <w:spacing w:after="30"/>
      </w:pPr>
      <w:r>
        <w:t xml:space="preserve">The same scaffolding can be re-used for other balance-sheet items (deposits, NPL balances, risk-weighted assets) or for peer-bank benchmarking. A follow-on module could introduce dplyr pipelines and ggplot2 visualisations of multi-bank growth trajectories or NPL-ratio trends.</w:t>
      </w:r>
    </w:p>
    <w:p>
      <w:pPr>
        <w:spacing w:before="180"/>
      </w:pPr>
      <w:r>
        <w:rPr>
          <w:i/>
          <w:iCs/>
        </w:rPr>
        <w:t xml:space="preserve">Please direct questions or requests for additional bank data sets to the Analytics Capability Building Unit.</w:t>
      </w:r>
    </w:p>
    <w:sectPr>
      <w:headerReference w:type="default" r:id="rId7"/>
      <w:footerReference w:type="default" r:id="rId8"/>
      <w:pgSz w:w="12240" w:h="15840" w:orient="portrait"/>
      <w:pgMar w:top="68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Confidential — For internal training use  •  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555555"/>
        <w:sz w:val="15"/>
        <w:szCs w:val="15"/>
      </w:rPr>
      <w:t xml:space="preserve">INTERNAL MEMORANDUM  —  Credit Risk / ALM Training &amp;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180"/>
    </w:pPr>
    <w:rPr>
      <w:rFonts w:ascii="Calibri" w:cs="Calibri" w:eastAsia="Calibri" w:hAnsi="Calibri"/>
      <w:b/>
      <w:bCs/>
      <w:color w:val="0A4D68"/>
      <w:sz w:val="24"/>
      <w:szCs w:val="24"/>
    </w:rPr>
  </w:style>
  <w:style w:type="paragraph" w:styleId="Heading2">
    <w:name w:val="Heading 2"/>
    <w:basedOn w:val="Normal"/>
    <w:next w:val="Normal"/>
    <w:pPr>
      <w:spacing w:after="50" w:before="140"/>
    </w:pPr>
    <w:rPr>
      <w:rFonts w:ascii="Calibri" w:cs="Calibri" w:eastAsia="Calibri" w:hAnsi="Calibri"/>
      <w:b/>
      <w:bCs/>
      <w:color w:val="08839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2026-08-19T15:12:04.174Z</dcterms:created>
  <dcterms:modified xsi:type="dcterms:W3CDTF">2026-08-19T15:12:04.174Z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