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Feature Importance and Hyperparameter Tuning on Raisin Morphometrics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900-row image card records seven size and shape measurements on two raisin varieties (Class 0/1, 450 each). The teaching task is to (1) say which measurements actually separate the classes and (2) choose tree depth / split minimum and logistic penalty / C without peeking at the hold-out fold. A default deep tree overfits; an un-tuned C is a guess. Stakeholders also need a sentence they can use, not a 9-cell CV table.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Solution Strategy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Freeze train_test_split(..., random_state=19) → 675 / 225. Rank features three ways (single-tree Gini, forest-averaged Gini, permutation drop on the test fold). Exhaust the published 3×3 DecisionTree grid {max_depth: 3,5,7} × {min_samples_split: 2,3,4} with GridSearchCV (5-fold). Sample eight (penalty, C) pairs for LogisticRegression(solver='liblinear') with RandomizedSearchCV. Quote hold-out accuracy, not best_score_. Stress-test n_iter, train n, and label noise.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Solution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800"/>
        <w:gridCol w:w="20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CV acc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7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acc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DT default (untuned)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depth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0.849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DT GridSearchCV 3×3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depth=5, min_split=2*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0.867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0.818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LR default liblinear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C=1, L2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0.880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LR RandomizedSearchCV n=8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L2, C≈9.8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0.876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0.880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Scaled L1 pipeline grid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C=1, L1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0.881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0.867</w:t>
            </w:r>
          </w:p>
        </w:tc>
      </w:tr>
    </w:tbl>
    <w:p>
      <w:pPr>
        <w:spacing w:after="6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6"/>
          <w:szCs w:val="16"/>
        </w:rPr>
        <w:t xml:space="preserve">*Codecademy's published run (no random_state on the tree) ties the same depth-5 row at min_samples_split=3, test ≈ 0.813. The depth-5 / depth-7 gap is the result that survives the seed.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Perimeter dominates every importance method. Single-tree Gini puts 0.59 on Perimeter; the forest spreads credit across the size block (Perimeter 0.25, MajorAxisLength 0.22, ConvexArea 0.16, Area 0.15); permutation on the hold-out fold collapses back onto Perimeter (Δacc ≈ 0.15) and the rest are noise. Scaled L1 zeros Area, MajorAxisLength and ConvexArea and keeps a large positive Perimeter coefficient.</w:t>
      </w:r>
    </w:p>
    <w:p>
      <w:pPr>
        <w:spacing w:after="60"/>
        <w:jc w:val="center"/>
      </w:pPr>
      <w:r>
        <w:drawing>
          <wp:inline distT="0" distB="0" distL="0" distR="0">
            <wp:extent cx="5829300" cy="1924050"/>
            <wp:effectExtent t="0" r="0" b="0" l="0"/>
            <wp:docPr id="1" name="hypetune_importance.png" descr="hypetune_importance.png" title="hypetun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Hyperparameters (depth, C, penalty) are chosen; coefficients and split thresholds are learned.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GridSearchCV exhausts a list; RandomizedSearchCV draws n_iter times from distributions. Same attributes after 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best_score_ selected the setting. Generalisation is score(X_test, y_test). Do not quote CV as the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Gini on one tree is cheap and correlation-blind. Confirm with a forest and a permutation 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 this card a 3×3 grid already saturates. Raising n_iter from 4 to 32 did not lift hold-out accuracy. Tiny n and label flips did.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 a packing-line spec. Teaching card only.</w:t>
      </w:r>
    </w:p>
    <w:sectPr>
      <w:headerReference w:type="default" r:id="rId7"/>
      <w:footerReference w:type="default" r:id="rId8"/>
      <w:pgSz w:w="12240" w:h="15840" w:orient="portrait"/>
      <w:pgMar w:top="540" w:right="630" w:bottom="540" w:left="6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HypeTune_Py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HypeTune_Py  ·  1-page summary  ·  raisins + GridSearchCV / RandomizedSearchCV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a5db9b9f72a384c02e62ebec09067bbf57b3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2026-09-02T02:59:45.272Z</dcterms:created>
  <dcterms:modified xsi:type="dcterms:W3CDTF">2026-09-02T02:59:45.272Z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