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B4F72"/>
          <w:sz w:val="32"/>
          <w:szCs w:val="32"/>
        </w:rPr>
        <w:t xml:space="preserve">HypeTune_Py — Audience Memo</w:t>
      </w:r>
    </w:p>
    <w:p>
      <w:pPr>
        <w:spacing w:after="80" w:before="0" w:line="240"/>
      </w:pPr>
      <w:r>
        <w:rPr>
          <w:rFonts w:ascii="Arial" w:cs="Arial" w:eastAsia="Arial" w:hAnsi="Arial"/>
          <w:b w:val="false"/>
          <w:bCs w:val="false"/>
          <w:i w:val="false"/>
          <w:iCs w:val="false"/>
          <w:color w:val="222222"/>
          <w:sz w:val="20"/>
          <w:szCs w:val="20"/>
        </w:rPr>
        <w:t xml:space="preserve">To: teaching / analytics team   From: HypeTune_Py lab   Re: how to talk about the raisin tuning card. Written against the two attached PDFs (data literacy + expert / technician / executive / nonspecialist).</w:t>
      </w:r>
    </w:p>
    <w:p>
      <w:pPr>
        <w:pStyle w:val="Heading1"/>
        <w:spacing w:after="80" w:before="160"/>
      </w:pPr>
      <w:r>
        <w:rPr>
          <w:rFonts w:ascii="Arial" w:cs="Arial" w:eastAsia="Arial" w:hAnsi="Arial"/>
          <w:b/>
          <w:bCs/>
          <w:color w:val="1B4F72"/>
        </w:rPr>
        <w:t xml:space="preserve">Situation</w:t>
      </w:r>
    </w:p>
    <w:p>
      <w:pPr>
        <w:spacing w:after="80" w:before="0" w:line="240"/>
      </w:pPr>
      <w:r>
        <w:rPr>
          <w:rFonts w:ascii="Arial" w:cs="Arial" w:eastAsia="Arial" w:hAnsi="Arial"/>
          <w:b w:val="false"/>
          <w:bCs w:val="false"/>
          <w:i w:val="false"/>
          <w:iCs w:val="false"/>
          <w:color w:val="222222"/>
          <w:sz w:val="20"/>
          <w:szCs w:val="20"/>
        </w:rPr>
        <w:t xml:space="preserve">Same 900-row morphometric table, same split (rs=19). Two models (a decision tree and an L1/L2 logistic) and two search styles (exhaustive 3×3 grid, 8-draw random search). The findings are stable enough to brief; they are not a factory acceptance test.</w:t>
      </w:r>
    </w:p>
    <w:p>
      <w:pPr>
        <w:pStyle w:val="Heading1"/>
        <w:spacing w:after="80" w:before="160"/>
      </w:pPr>
      <w:r>
        <w:rPr>
          <w:rFonts w:ascii="Arial" w:cs="Arial" w:eastAsia="Arial" w:hAnsi="Arial"/>
          <w:b/>
          <w:bCs/>
          <w:color w:val="1B4F72"/>
        </w:rPr>
        <w:t xml:space="preserve">Experts</w:t>
      </w:r>
    </w:p>
    <w:p>
      <w:pPr>
        <w:spacing w:after="80" w:before="0" w:line="240"/>
      </w:pPr>
      <w:r>
        <w:rPr>
          <w:rFonts w:ascii="Arial" w:cs="Arial" w:eastAsia="Arial" w:hAnsi="Arial"/>
          <w:b w:val="false"/>
          <w:bCs w:val="false"/>
          <w:i w:val="false"/>
          <w:iCs w:val="false"/>
          <w:color w:val="222222"/>
          <w:sz w:val="20"/>
          <w:szCs w:val="20"/>
        </w:rPr>
        <w:t xml:space="preserve">Data-literate readers will accept scatter-adjacent claims and want the correlation caveat. Single-tree Gini attributes 0.59 of the gain to Perimeter because Area, ConvexArea and Perimeter are size twins — the first split that uses one of them starves the others. Forest-averaged Gini redistributes that mass (0.25 / 0.22 / 0.16 / 0.15). Permutation importance on the hold-out fold is the decisive check: only Perimeter's shuffle costs ~15 pp of accuracy; the other six columns are consistent with zero. The depth-5 row of the tree grid is a three-way tie on min_samples_split at CV 0.867; do not over-interpret which of {2,3,4} 'won'. Unscaled logistic random search is flat across C ∈ (1, 85). A scaled L1 pipeline zeros the redundant size block and should be the coefficient story you publish. Always pair CV with the 225-row test number (tree ≈ 0.82, logistic ≈ 0.88).</w:t>
      </w:r>
    </w:p>
    <w:p>
      <w:pPr>
        <w:pStyle w:val="Heading1"/>
        <w:spacing w:after="80" w:before="160"/>
      </w:pPr>
      <w:r>
        <w:rPr>
          <w:rFonts w:ascii="Arial" w:cs="Arial" w:eastAsia="Arial" w:hAnsi="Arial"/>
          <w:b/>
          <w:bCs/>
          <w:color w:val="1B4F72"/>
        </w:rPr>
        <w:t xml:space="preserve">Technicians</w:t>
      </w:r>
    </w:p>
    <w:p>
      <w:pPr>
        <w:spacing w:after="80" w:before="0" w:line="240"/>
      </w:pPr>
      <w:r>
        <w:rPr>
          <w:rFonts w:ascii="Arial" w:cs="Arial" w:eastAsia="Arial" w:hAnsi="Arial"/>
          <w:b w:val="false"/>
          <w:bCs w:val="false"/>
          <w:i w:val="false"/>
          <w:iCs w:val="false"/>
          <w:color w:val="222222"/>
          <w:sz w:val="20"/>
          <w:szCs w:val="20"/>
        </w:rPr>
        <w:t xml:space="preserve">Practical operators need the procedure, not the Gini formula. Load Raisin_Dataset.csv. Drop Class into y. Split with random_state=19. Fit GridSearchCV(DecisionTreeClassifier(), {'max_depth':[3,5,7],'min_samples_split':[2,3,4]}). Read best_estimator_ and call .score on the hold-out fold. Then fit RandomizedSearchCV(LogisticRegression(solver='liblinear', max_iter=1000), {'penalty':['l1','l2'], 'C': uniform(0,100)}, n_iter=8). Keep the camera calibration on Perimeter; Area and ConvexArea are backup size readings, not independent signals. Do not change the grid after looking at the test score. If sklearn warns that penalty is deprecated, the lesson code still runs; new jobs should switch to l1_ratio.</w:t>
      </w:r>
    </w:p>
    <w:p>
      <w:pPr>
        <w:pStyle w:val="Heading1"/>
        <w:spacing w:after="80" w:before="160"/>
      </w:pPr>
      <w:r>
        <w:rPr>
          <w:rFonts w:ascii="Arial" w:cs="Arial" w:eastAsia="Arial" w:hAnsi="Arial"/>
          <w:b/>
          <w:bCs/>
          <w:color w:val="1B4F72"/>
        </w:rPr>
        <w:t xml:space="preserve">Executives</w:t>
      </w:r>
    </w:p>
    <w:p>
      <w:pPr>
        <w:spacing w:after="80" w:before="0" w:line="240"/>
      </w:pPr>
      <w:r>
        <w:rPr>
          <w:rFonts w:ascii="Arial" w:cs="Arial" w:eastAsia="Arial" w:hAnsi="Arial"/>
          <w:b w:val="false"/>
          <w:bCs w:val="false"/>
          <w:i w:val="false"/>
          <w:iCs w:val="false"/>
          <w:color w:val="222222"/>
          <w:sz w:val="20"/>
          <w:szCs w:val="20"/>
        </w:rPr>
        <w:t xml:space="preserve">Two varieties, balanced sample, seven measurements. A shallow rule-tree and a standard logistic both land in the mid- to high-80s on raisins the model has not seen. Searching a bigger list of settings does not move that number on this card — the measurement that moves it is perimeter. Budget goes to cleaner imaging of outline length, not to a larger hyperparameter grid. Treat the percentage as a classroom result, not a service-level target.</w:t>
      </w:r>
    </w:p>
    <w:p>
      <w:pPr>
        <w:pStyle w:val="Heading1"/>
        <w:spacing w:after="80" w:before="160"/>
      </w:pPr>
      <w:r>
        <w:rPr>
          <w:rFonts w:ascii="Arial" w:cs="Arial" w:eastAsia="Arial" w:hAnsi="Arial"/>
          <w:b/>
          <w:bCs/>
          <w:color w:val="1B4F72"/>
        </w:rPr>
        <w:t xml:space="preserve">Nonspecialists</w:t>
      </w:r>
    </w:p>
    <w:p>
      <w:pPr>
        <w:spacing w:after="80" w:before="0" w:line="240"/>
      </w:pPr>
      <w:r>
        <w:rPr>
          <w:rFonts w:ascii="Arial" w:cs="Arial" w:eastAsia="Arial" w:hAnsi="Arial"/>
          <w:b w:val="false"/>
          <w:bCs w:val="false"/>
          <w:i w:val="false"/>
          <w:iCs w:val="false"/>
          <w:color w:val="222222"/>
          <w:sz w:val="20"/>
          <w:szCs w:val="20"/>
        </w:rPr>
        <w:t xml:space="preserve">We looked at photos of two kinds of raisins and asked a simple model which measurements tell them apart. The outline of the raisin (its perimeter) does most of the work. We tried a handful of 'how detailed may the rule-tree be' settings and kept the one that still worked when we hid a quarter of the photos. It was right about four times out of five. That is a teaching exercise, not a promise about a packing line.</w:t>
      </w:r>
    </w:p>
    <w:p>
      <w:pPr>
        <w:pStyle w:val="Heading1"/>
        <w:spacing w:after="80" w:before="160"/>
      </w:pPr>
      <w:r>
        <w:rPr>
          <w:rFonts w:ascii="Arial" w:cs="Arial" w:eastAsia="Arial" w:hAnsi="Arial"/>
          <w:b/>
          <w:bCs/>
          <w:color w:val="1B4F72"/>
        </w:rPr>
        <w:t xml:space="preserve">What to leave out,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4"/>
              <w:left w:val="single" w:color="CCCCCC" w:sz="4"/>
              <w:bottom w:val="single" w:color="CCCCCC" w:sz="4"/>
              <w:right w:val="single" w:color="CCCCCC" w:sz="4"/>
            </w:tcBorders>
            <w:shd w:fill="1B4F72" w:val="clear"/>
            <w:tcMar>
              <w:top w:type="dxa" w:w="50"/>
              <w:left w:type="dxa" w:w="70"/>
              <w:bottom w:type="dxa" w:w="50"/>
              <w:right w:type="dxa" w:w="70"/>
            </w:tcMar>
          </w:tcPr>
          <w:p>
            <w:r>
              <w:rPr>
                <w:rFonts w:ascii="Arial" w:cs="Arial" w:eastAsia="Arial" w:hAnsi="Arial"/>
                <w:b/>
                <w:bCs/>
                <w:color w:val="FFFFFF"/>
                <w:sz w:val="17"/>
                <w:szCs w:val="17"/>
              </w:rPr>
              <w:t xml:space="preserve">Audience</w:t>
            </w:r>
          </w:p>
        </w:tc>
        <w:tc>
          <w:tcPr>
            <w:tcW w:type="dxa" w:w="3680"/>
            <w:tcBorders>
              <w:top w:val="single" w:color="CCCCCC" w:sz="4"/>
              <w:left w:val="single" w:color="CCCCCC" w:sz="4"/>
              <w:bottom w:val="single" w:color="CCCCCC" w:sz="4"/>
              <w:right w:val="single" w:color="CCCCCC" w:sz="4"/>
            </w:tcBorders>
            <w:shd w:fill="1B4F72" w:val="clear"/>
            <w:tcMar>
              <w:top w:type="dxa" w:w="50"/>
              <w:left w:type="dxa" w:w="70"/>
              <w:bottom w:type="dxa" w:w="50"/>
              <w:right w:type="dxa" w:w="70"/>
            </w:tcMar>
          </w:tcPr>
          <w:p>
            <w:r>
              <w:rPr>
                <w:rFonts w:ascii="Arial" w:cs="Arial" w:eastAsia="Arial" w:hAnsi="Arial"/>
                <w:b/>
                <w:bCs/>
                <w:color w:val="FFFFFF"/>
                <w:sz w:val="17"/>
                <w:szCs w:val="17"/>
              </w:rPr>
              <w:t xml:space="preserve">Lead with</w:t>
            </w:r>
          </w:p>
        </w:tc>
        <w:tc>
          <w:tcPr>
            <w:tcW w:type="dxa" w:w="3680"/>
            <w:tcBorders>
              <w:top w:val="single" w:color="CCCCCC" w:sz="4"/>
              <w:left w:val="single" w:color="CCCCCC" w:sz="4"/>
              <w:bottom w:val="single" w:color="CCCCCC" w:sz="4"/>
              <w:right w:val="single" w:color="CCCCCC" w:sz="4"/>
            </w:tcBorders>
            <w:shd w:fill="1B4F72" w:val="clear"/>
            <w:tcMar>
              <w:top w:type="dxa" w:w="50"/>
              <w:left w:type="dxa" w:w="70"/>
              <w:bottom w:type="dxa" w:w="50"/>
              <w:right w:type="dxa" w:w="70"/>
            </w:tcMar>
          </w:tcPr>
          <w:p>
            <w:r>
              <w:rPr>
                <w:rFonts w:ascii="Arial" w:cs="Arial" w:eastAsia="Arial" w:hAnsi="Arial"/>
                <w:b/>
                <w:bCs/>
                <w:color w:val="FFFFFF"/>
                <w:sz w:val="17"/>
                <w:szCs w:val="17"/>
              </w:rPr>
              <w:t xml:space="preserve">Leave in the appendix</w:t>
            </w:r>
          </w:p>
        </w:tc>
      </w:tr>
      <w:tr>
        <w:tc>
          <w:tcPr>
            <w:tcW w:type="dxa" w:w="20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1A1A1A"/>
                <w:sz w:val="17"/>
                <w:szCs w:val="17"/>
              </w:rPr>
              <w:t xml:space="preserve">Experts</w:t>
            </w:r>
          </w:p>
        </w:tc>
        <w:tc>
          <w:tcPr>
            <w:tcW w:type="dxa" w:w="368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1A1A1A"/>
                <w:sz w:val="17"/>
                <w:szCs w:val="17"/>
              </w:rPr>
              <w:t xml:space="preserve">Permutation vs Gini, collinearity, CV ≠ test</w:t>
            </w:r>
          </w:p>
        </w:tc>
        <w:tc>
          <w:tcPr>
            <w:tcW w:type="dxa" w:w="368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1A1A1A"/>
                <w:sz w:val="17"/>
                <w:szCs w:val="17"/>
              </w:rPr>
              <w:t xml:space="preserve">Screenshot of GridSearchCV HTML</w:t>
            </w:r>
          </w:p>
        </w:tc>
      </w:tr>
      <w:tr>
        <w:tc>
          <w:tcPr>
            <w:tcW w:type="dxa" w:w="2000"/>
            <w:tcBorders>
              <w:top w:val="single" w:color="CCCCCC" w:sz="4"/>
              <w:left w:val="single" w:color="CCCCCC" w:sz="4"/>
              <w:bottom w:val="single" w:color="CCCCCC" w:sz="4"/>
              <w:right w:val="single" w:color="CCCCCC" w:sz="4"/>
            </w:tcBorders>
            <w:shd w:fill="F4F8FB" w:val="clear"/>
            <w:tcMar>
              <w:top w:type="dxa" w:w="50"/>
              <w:left w:type="dxa" w:w="70"/>
              <w:bottom w:type="dxa" w:w="50"/>
              <w:right w:type="dxa" w:w="70"/>
            </w:tcMar>
          </w:tcPr>
          <w:p>
            <w:r>
              <w:rPr>
                <w:rFonts w:ascii="Arial" w:cs="Arial" w:eastAsia="Arial" w:hAnsi="Arial"/>
                <w:b w:val="false"/>
                <w:bCs w:val="false"/>
                <w:color w:val="1A1A1A"/>
                <w:sz w:val="17"/>
                <w:szCs w:val="17"/>
              </w:rPr>
              <w:t xml:space="preserve">Technicians</w:t>
            </w:r>
          </w:p>
        </w:tc>
        <w:tc>
          <w:tcPr>
            <w:tcW w:type="dxa" w:w="3680"/>
            <w:tcBorders>
              <w:top w:val="single" w:color="CCCCCC" w:sz="4"/>
              <w:left w:val="single" w:color="CCCCCC" w:sz="4"/>
              <w:bottom w:val="single" w:color="CCCCCC" w:sz="4"/>
              <w:right w:val="single" w:color="CCCCCC" w:sz="4"/>
            </w:tcBorders>
            <w:shd w:fill="F4F8FB" w:val="clear"/>
            <w:tcMar>
              <w:top w:type="dxa" w:w="50"/>
              <w:left w:type="dxa" w:w="70"/>
              <w:bottom w:type="dxa" w:w="50"/>
              <w:right w:type="dxa" w:w="70"/>
            </w:tcMar>
          </w:tcPr>
          <w:p>
            <w:r>
              <w:rPr>
                <w:rFonts w:ascii="Arial" w:cs="Arial" w:eastAsia="Arial" w:hAnsi="Arial"/>
                <w:b w:val="false"/>
                <w:bCs w:val="false"/>
                <w:color w:val="1A1A1A"/>
                <w:sz w:val="17"/>
                <w:szCs w:val="17"/>
              </w:rPr>
              <w:t xml:space="preserve">Exact constructors, seed, file path</w:t>
            </w:r>
          </w:p>
        </w:tc>
        <w:tc>
          <w:tcPr>
            <w:tcW w:type="dxa" w:w="3680"/>
            <w:tcBorders>
              <w:top w:val="single" w:color="CCCCCC" w:sz="4"/>
              <w:left w:val="single" w:color="CCCCCC" w:sz="4"/>
              <w:bottom w:val="single" w:color="CCCCCC" w:sz="4"/>
              <w:right w:val="single" w:color="CCCCCC" w:sz="4"/>
            </w:tcBorders>
            <w:shd w:fill="F4F8FB" w:val="clear"/>
            <w:tcMar>
              <w:top w:type="dxa" w:w="50"/>
              <w:left w:type="dxa" w:w="70"/>
              <w:bottom w:type="dxa" w:w="50"/>
              <w:right w:type="dxa" w:w="70"/>
            </w:tcMar>
          </w:tcPr>
          <w:p>
            <w:r>
              <w:rPr>
                <w:rFonts w:ascii="Arial" w:cs="Arial" w:eastAsia="Arial" w:hAnsi="Arial"/>
                <w:b w:val="false"/>
                <w:bCs w:val="false"/>
                <w:color w:val="1A1A1A"/>
                <w:sz w:val="17"/>
                <w:szCs w:val="17"/>
              </w:rPr>
              <w:t xml:space="preserve">Bias–variance essay</w:t>
            </w:r>
          </w:p>
        </w:tc>
      </w:tr>
      <w:tr>
        <w:tc>
          <w:tcPr>
            <w:tcW w:type="dxa" w:w="200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1A1A1A"/>
                <w:sz w:val="17"/>
                <w:szCs w:val="17"/>
              </w:rPr>
              <w:t xml:space="preserve">Executives</w:t>
            </w:r>
          </w:p>
        </w:tc>
        <w:tc>
          <w:tcPr>
            <w:tcW w:type="dxa" w:w="368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1A1A1A"/>
                <w:sz w:val="17"/>
                <w:szCs w:val="17"/>
              </w:rPr>
              <w:t xml:space="preserve">Mid-80s, perimeter, search budget is not the lever</w:t>
            </w:r>
          </w:p>
        </w:tc>
        <w:tc>
          <w:tcPr>
            <w:tcW w:type="dxa" w:w="3680"/>
            <w:tcBorders>
              <w:top w:val="single" w:color="CCCCCC" w:sz="4"/>
              <w:left w:val="single" w:color="CCCCCC" w:sz="4"/>
              <w:bottom w:val="single" w:color="CCCCCC" w:sz="4"/>
              <w:right w:val="single" w:color="CCCCCC" w:sz="4"/>
            </w:tcBorders>
            <w:shd w:fill="FFFFFF" w:val="clear"/>
            <w:tcMar>
              <w:top w:type="dxa" w:w="50"/>
              <w:left w:type="dxa" w:w="70"/>
              <w:bottom w:type="dxa" w:w="50"/>
              <w:right w:type="dxa" w:w="70"/>
            </w:tcMar>
          </w:tcPr>
          <w:p>
            <w:r>
              <w:rPr>
                <w:rFonts w:ascii="Arial" w:cs="Arial" w:eastAsia="Arial" w:hAnsi="Arial"/>
                <w:b w:val="false"/>
                <w:bCs w:val="false"/>
                <w:color w:val="1A1A1A"/>
                <w:sz w:val="17"/>
                <w:szCs w:val="17"/>
              </w:rPr>
              <w:t xml:space="preserve">9-cell CV table, scipy.stats.uniform</w:t>
            </w:r>
          </w:p>
        </w:tc>
      </w:tr>
      <w:tr>
        <w:tc>
          <w:tcPr>
            <w:tcW w:type="dxa" w:w="2000"/>
            <w:tcBorders>
              <w:top w:val="single" w:color="CCCCCC" w:sz="4"/>
              <w:left w:val="single" w:color="CCCCCC" w:sz="4"/>
              <w:bottom w:val="single" w:color="CCCCCC" w:sz="4"/>
              <w:right w:val="single" w:color="CCCCCC" w:sz="4"/>
            </w:tcBorders>
            <w:shd w:fill="F4F8FB" w:val="clear"/>
            <w:tcMar>
              <w:top w:type="dxa" w:w="50"/>
              <w:left w:type="dxa" w:w="70"/>
              <w:bottom w:type="dxa" w:w="50"/>
              <w:right w:type="dxa" w:w="70"/>
            </w:tcMar>
          </w:tcPr>
          <w:p>
            <w:r>
              <w:rPr>
                <w:rFonts w:ascii="Arial" w:cs="Arial" w:eastAsia="Arial" w:hAnsi="Arial"/>
                <w:b w:val="false"/>
                <w:bCs w:val="false"/>
                <w:color w:val="1A1A1A"/>
                <w:sz w:val="17"/>
                <w:szCs w:val="17"/>
              </w:rPr>
              <w:t xml:space="preserve">Nonspecialists</w:t>
            </w:r>
          </w:p>
        </w:tc>
        <w:tc>
          <w:tcPr>
            <w:tcW w:type="dxa" w:w="3680"/>
            <w:tcBorders>
              <w:top w:val="single" w:color="CCCCCC" w:sz="4"/>
              <w:left w:val="single" w:color="CCCCCC" w:sz="4"/>
              <w:bottom w:val="single" w:color="CCCCCC" w:sz="4"/>
              <w:right w:val="single" w:color="CCCCCC" w:sz="4"/>
            </w:tcBorders>
            <w:shd w:fill="F4F8FB" w:val="clear"/>
            <w:tcMar>
              <w:top w:type="dxa" w:w="50"/>
              <w:left w:type="dxa" w:w="70"/>
              <w:bottom w:type="dxa" w:w="50"/>
              <w:right w:type="dxa" w:w="70"/>
            </w:tcMar>
          </w:tcPr>
          <w:p>
            <w:r>
              <w:rPr>
                <w:rFonts w:ascii="Arial" w:cs="Arial" w:eastAsia="Arial" w:hAnsi="Arial"/>
                <w:b w:val="false"/>
                <w:bCs w:val="false"/>
                <w:color w:val="1A1A1A"/>
                <w:sz w:val="17"/>
                <w:szCs w:val="17"/>
              </w:rPr>
              <w:t xml:space="preserve">Outline length, four-in-five, teaching-only</w:t>
            </w:r>
          </w:p>
        </w:tc>
        <w:tc>
          <w:tcPr>
            <w:tcW w:type="dxa" w:w="3680"/>
            <w:tcBorders>
              <w:top w:val="single" w:color="CCCCCC" w:sz="4"/>
              <w:left w:val="single" w:color="CCCCCC" w:sz="4"/>
              <w:bottom w:val="single" w:color="CCCCCC" w:sz="4"/>
              <w:right w:val="single" w:color="CCCCCC" w:sz="4"/>
            </w:tcBorders>
            <w:shd w:fill="F4F8FB" w:val="clear"/>
            <w:tcMar>
              <w:top w:type="dxa" w:w="50"/>
              <w:left w:type="dxa" w:w="70"/>
              <w:bottom w:type="dxa" w:w="50"/>
              <w:right w:type="dxa" w:w="70"/>
            </w:tcMar>
          </w:tcPr>
          <w:p>
            <w:r>
              <w:rPr>
                <w:rFonts w:ascii="Arial" w:cs="Arial" w:eastAsia="Arial" w:hAnsi="Arial"/>
                <w:b w:val="false"/>
                <w:bCs w:val="false"/>
                <w:color w:val="1A1A1A"/>
                <w:sz w:val="17"/>
                <w:szCs w:val="17"/>
              </w:rPr>
              <w:t xml:space="preserve">Gini formula, penalty / C</w:t>
            </w:r>
          </w:p>
        </w:tc>
      </w:tr>
    </w:tbl>
    <w:p>
      <w:pPr>
        <w:pStyle w:val="Heading1"/>
        <w:spacing w:after="80" w:before="160"/>
      </w:pPr>
      <w:r>
        <w:rPr>
          <w:rFonts w:ascii="Arial" w:cs="Arial" w:eastAsia="Arial" w:hAnsi="Arial"/>
          <w:b/>
          <w:bCs/>
          <w:color w:val="1B4F72"/>
        </w:rPr>
        <w:t xml:space="preserve">Good fit / poor fit</w:t>
      </w:r>
    </w:p>
    <w:p>
      <w:pPr>
        <w:pStyle w:val="ListParagraph"/>
        <w:numPr>
          <w:ilvl w:val="0"/>
          <w:numId w:val="2"/>
        </w:numPr>
        <w:spacing w:after="60"/>
      </w:pPr>
      <w:r>
        <w:rPr>
          <w:rFonts w:ascii="Arial" w:cs="Arial" w:eastAsia="Arial" w:hAnsi="Arial"/>
          <w:color w:val="222222"/>
          <w:sz w:val="20"/>
          <w:szCs w:val="20"/>
        </w:rPr>
        <w:t xml:space="preserve">Good fit: small tabular classification, a handful of numeric features, need a reproducible search + a sentence about which column matters.</w:t>
      </w:r>
    </w:p>
    <w:p>
      <w:pPr>
        <w:pStyle w:val="ListParagraph"/>
        <w:numPr>
          <w:ilvl w:val="0"/>
          <w:numId w:val="2"/>
        </w:numPr>
        <w:spacing w:after="60"/>
      </w:pPr>
      <w:r>
        <w:rPr>
          <w:rFonts w:ascii="Arial" w:cs="Arial" w:eastAsia="Arial" w:hAnsi="Arial"/>
          <w:color w:val="222222"/>
          <w:sz w:val="20"/>
          <w:szCs w:val="20"/>
        </w:rPr>
        <w:t xml:space="preserve">Poor fit: raw pixels, heavily imbalanced rare events, causal claims, production grading of fruit.</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HypeTune_Py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pPr>
    <w:r>
      <w:rPr>
        <w:rFonts w:ascii="Arial" w:cs="Arial" w:eastAsia="Arial" w:hAnsi="Arial"/>
        <w:b w:val="false"/>
        <w:bCs w:val="false"/>
        <w:i w:val="false"/>
        <w:iCs w:val="false"/>
        <w:color w:val="666666"/>
        <w:sz w:val="16"/>
        <w:szCs w:val="16"/>
      </w:rPr>
      <w:t xml:space="preserve">HypeTune_Py project memo  ·  four audiences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20"/>
      <w:outlineLvl w:val="0"/>
    </w:pPr>
    <w:rPr>
      <w:rFonts w:ascii="Arial" w:cs="Arial" w:eastAsia="Arial" w:hAnsi="Arial"/>
      <w:b/>
      <w:bCs/>
      <w:color w:val="1B4F72"/>
      <w:sz w:val="28"/>
      <w:szCs w:val="28"/>
    </w:rPr>
  </w:style>
  <w:style w:type="paragraph" w:styleId="Heading2">
    <w:name w:val="Heading 2"/>
    <w:basedOn w:val="Normal"/>
    <w:next w:val="Normal"/>
    <w:qFormat/>
    <w:pPr>
      <w:spacing w:after="60" w:before="160"/>
      <w:outlineLvl w:val="1"/>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2026-09-02T02:59:46.142Z</dcterms:created>
  <dcterms:modified xsi:type="dcterms:W3CDTF">2026-09-02T02:59:46.142Z</dcterms:modified>
</cp:coreProperties>
</file>

<file path=docProps/custom.xml><?xml version="1.0" encoding="utf-8"?>
<Properties xmlns="http://schemas.openxmlformats.org/officeDocument/2006/custom-properties" xmlns:vt="http://schemas.openxmlformats.org/officeDocument/2006/docPropsVTypes"/>
</file>