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HypeTune_Py Strategy Guide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How to clone this pack onto a new table, when the pattern helps, and when it does not.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When this pack is the right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Binary (or well-balanced multiclass) table, tens to a few thousand rows, a dozen numeric / low-card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question is both 'which columns matter' and 'which settings should we freeze'.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can afford 5-fold CV on a tree grid of size ≤ ~20 and a random search of n_iter ≤ ~30.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Stakeholders come in mixed literacy — you need the four-audience rewrite.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When to pick a different pack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Need a regularised probability model with a C-path and ROC: WineReg / LogReg_Assumptions / Income_LogReg.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Need wrapper feature selection (SFS/SBS/RFE): WrapFS_Obes.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Need from-scratch gradient descent rather than sklearn search: LogReg_GD_Sklearn.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Images, text, or sequences — this pack has no encoder.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Reuse steps (HypeTune_Py_Reusable_Template.ipynb)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Point DATA_PATH and TARGET at the new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Keep the split seed frozen. Stratify if the new label is imbalanced.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Rewrite TREE_GRID around the new estimator's real knobs (depth / min_leaf for trees; C / l1_ratio for linear).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Prefer loguniform for scale parameters (C, gamma, learning_rate).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a scaled pipeline before you read coefficients.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the simulation knobs (n, n_iter, label flip, junk columns) before you declare the winner stable.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Rewrite the four audience paragraphs. Do not ship the raisin sentences on a credit or medical table.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Search-space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Knob type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Search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Typical range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Tree depth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grid, small list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3, 5, 7, None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min_samples_split / leaf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grid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2, 5, 10, 20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 / alpha (scale)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log-uniform random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1e-3 .. 1e2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penalty / kernel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 (discrete)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l1, l2 / linear, rbf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n_estimators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grid or random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100, 200, 400</w:t>
            </w:r>
          </w:p>
        </w:tc>
      </w:tr>
    </w:tbl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Grid when every cell is cheap and the list is short. Random (or successive-halving) when one axis is continuous or the product exceeds ~30 fits × folds.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Feature-importance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Always compute at least two families (impurity and permutation, or impurity and |coef|).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they disagree, suspect collinearity. Drop one twin and recompute.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Never use training-set permutation as the published ranking — it rewards features the model memorised.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Reporting rule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Lead with the hold-out number and the feature that survived permutation. Put the 9-cell CV table in an appendix. State the seed. State that the card is a teaching result when it is.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Limitations on the raisin card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Class labels are already balanced; real grading lines are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Seven engineered morphometrics — no raw pixels, no lighting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3×3 grid is pedagogic. A real tree search would include min_samples_leaf and ccp_alpha.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Unscaled logistic coefficients are not feature importances.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HypeTune_Py_Practice_Skeleton.ipynb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Student notebook, blanks marked YOUR CODE HERE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HypeTune_Py_Solution.ipynb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Worked answers + alternates + simulation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HypeTune_Py_Reusable_Template.ipynb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CONFIG-driven clone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HypeTune_Py.py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Importable helpers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HypeTune_Py_Cheatsheet.docx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Desk reference for the skeleton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HypeTune_Py_1Page_Summary_Report.docx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One-page brief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HypeTune_Py_Project_Memo.docx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Four-audience rewrite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data/Raisin_Dataset.csv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900 × 8 teaching table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hypetune_*.png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Flowchart + charts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HypeTune_Py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HypeTune_Py strategy guide  ·  when to reuse this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2026-09-02T02:59:46.674Z</dcterms:created>
  <dcterms:modified xsi:type="dcterms:W3CDTF">2026-09-02T02:59:46.674Z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