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Project memo — four audiences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/>
          <w:iCs/>
          <w:color w:val="222222"/>
          <w:sz w:val="18"/>
          <w:szCs w:val="18"/>
        </w:rPr>
        <w:t xml:space="preserve">LaptopPrice  ·  adapted from “What to Consider When Considering the Audience” and “Audience and Situation Analysis” (experts / technicians / executives / nonspecialists).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Situation: a short readout after the first working forest, not a 40-page methods annex. Time span is a stand-up, not a journal club.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Experts  (ML / pricing-science)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You already know bagged trees. Three details worth the time: (1) target encoding on processor_name leaks if you compute means on the full 823 rows — on this particular split the score barely moved (₹12.6k vs ₹12.4k) because every family is in both folds, which is luck; (2) impurity importance 0.56 on that encoding is the usual high-cardinality bias, permutation on the hold-out puts storage, ratings-count, GPU and RAM in a tighter pack under the CPU family; (3) train R² 0.966 vs test 0.725 is the default 100-tree forest memorizing 658 rows, not a bug. LinearRegression on the same matrix is MAE ₹16.4k / R² 0.66, so the non-linearity is real but modest. Do not ship review-count as a feature for a yet-unlisted config.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Technicians  (catalog / pricing analysts who will rerun this)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skeleton notebook is the runbook. Cast to string before every .str.replace so cells stay rerunnable. Cardinality cutoff is 5: brand, processor_name, and ram_type take the mean-price map; the rest become 0/1 columns with the first level dropped. Fit those maps on the training 658 rows and fill unknown test labels with the training mean price. Expected printout: MAE about 12,400 rupees, R² about 0.72. If MAE jumps above ~18k after a data refresh, check for a new unit token (“TB”, “No HDD”) before you retune trees. Charts to keep: heatmap, RAM box, GPU box, pred-vs-actual.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Executives  (category / commercial)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Question: can listed specs explain list price well enough to flag outliers? Answer: yes for a first screen, no for a locked quote. A naive “use the catalog average” misses by about ₹31,000. The spec model misses by about ₹12,400 — roughly 16% of the average ticket. What actually moves the number: processor family, total storage, discrete GPU memory, and RAM. Brand still matters, but a lot of brand is already sitting inside the CPU family (Apple/M1 vs Celeron). The model will be wrong on the ₹2–4 lakh workstations; treat those as a manual desk. This is not a recommendation to raise or cut shelf prices.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Nonspecialists  (learners / shoppers reading along)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Laptops in this file are described with phrases like “8 GB” and “4 stars.” A computer cannot add those phrases until someone peels the letters off and leaves the numbers. After that, a crowd of small decision trees votes on a price. On laptops it has not seen, that vote is usually within about twelve thousand rupees of the listed price — better than guessing the average, still a wide band if you are buying one machine. Bigger RAM, a real graphics chip, and a newer processor family go with higher prices. Star ratings in this file barely move the number; how many people reviewed the listing does, because cheap popular models collect more reviews.</w:t>
      </w:r>
    </w:p>
    <w:p>
      <w:pPr>
        <w:pStyle w:val="Heading1"/>
        <w:spacing w:after="80" w:before="1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Mixed-audience document</w:t>
      </w:r>
    </w:p>
    <w:p>
      <w:pPr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The 1-page summary leads with the rupee MAE for executives, keeps the leakage note for experts, and points technicians at the skeleton. Section heads are the on-ramps from the attached audience PDFs. Abbreviations (MAE, R², DDR4) stay expanded once in the summary and are free after that.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0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Arial" w:cs="Arial" w:eastAsia="Arial" w:hAnsi="Arial"/>
      <w:b/>
      <w:bCs/>
      <w:color w:val="1B6B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2026-09-03T02:29:47.823Z</dcterms:created>
  <dcterms:modified xsi:type="dcterms:W3CDTF">2026-09-03T02:29:47.823Z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