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4F72"/>
          <w:sz w:val="28"/>
          <w:szCs w:val="28"/>
        </w:rPr>
        <w:t xml:space="preserve">K-Nearest Neighbors Regressor</w:t>
      </w:r>
    </w:p>
    <w:p>
      <w:pPr>
        <w:spacing w:after="80" w:before="0"/>
        <w:jc w:val="left"/>
      </w:pPr>
      <w:r>
        <w:rPr>
          <w:rFonts w:ascii="Arial" w:cs="Arial" w:eastAsia="Arial" w:hAnsi="Arial"/>
          <w:b w:val="false"/>
          <w:bCs w:val="false"/>
          <w:i w:val="false"/>
          <w:iCs w:val="false"/>
          <w:color w:val="5D6D7E"/>
          <w:sz w:val="17"/>
          <w:szCs w:val="17"/>
        </w:rPr>
        <w:t xml:space="preserve">Movies from-scratch (uniform + weighted) + sklearn KNeighborsRegressor  ·  short name KNN_Regress</w:t>
      </w:r>
    </w:p>
    <w:p>
      <w:pPr>
        <w:pStyle w:val="Heading1"/>
        <w:spacing w:after="80" w:before="160"/>
      </w:pPr>
      <w:r>
        <w:rPr>
          <w:rFonts w:ascii="Arial" w:cs="Arial" w:eastAsia="Arial" w:hAnsi="Arial"/>
          <w:b/>
          <w:bCs/>
          <w:color w:val="1B4F72"/>
          <w:sz w:val="24"/>
          <w:szCs w:val="24"/>
        </w:rPr>
        <w:t xml:space="preserve">Problem Statement</w:t>
      </w:r>
    </w:p>
    <w:p>
      <w:pPr>
        <w:spacing w:after="80" w:before="0"/>
        <w:jc w:val="left"/>
      </w:pPr>
      <w:r>
        <w:rPr>
          <w:rFonts w:ascii="Arial" w:cs="Arial" w:eastAsia="Arial" w:hAnsi="Arial"/>
          <w:b w:val="false"/>
          <w:bCs w:val="false"/>
          <w:i w:val="false"/>
          <w:iCs w:val="false"/>
          <w:color w:val="1C2833"/>
          <w:sz w:val="20"/>
          <w:szCs w:val="20"/>
        </w:rPr>
        <w:t xml:space="preserve">A new title has runtime, year and budget but no star rating. KNN regression asks which already-rated films sit closest and what those neighbors score — then returns a number, not a class. Two traps: raw budget in dollars drowns year and runtime, and k is a bias–variance knob (k = 1 copies one outlier rating; huge k collapses to the catalogue mean). Weighted averaging lets nearer titles speak louder. This lab rebuilds the Codecademy movie regressor by hand, checks it against KNeighborsRegressor, then reuses the same pipeline on house prices and used-car listings.</w:t>
      </w:r>
    </w:p>
    <w:p>
      <w:pPr>
        <w:pStyle w:val="Heading1"/>
        <w:spacing w:after="80" w:before="160"/>
      </w:pPr>
      <w:r>
        <w:rPr>
          <w:rFonts w:ascii="Arial" w:cs="Arial" w:eastAsia="Arial" w:hAnsi="Arial"/>
          <w:b/>
          <w:bCs/>
          <w:color w:val="1B4F72"/>
          <w:sz w:val="24"/>
          <w:szCs w:val="24"/>
        </w:rPr>
        <w:t xml:space="preserve">Solution Strategy</w:t>
      </w:r>
    </w:p>
    <w:p>
      <w:pPr>
        <w:spacing w:after="80" w:before="0"/>
        <w:jc w:val="left"/>
      </w:pPr>
      <w:r>
        <w:rPr>
          <w:rFonts w:ascii="Arial" w:cs="Arial" w:eastAsia="Arial" w:hAnsi="Arial"/>
          <w:b w:val="false"/>
          <w:bCs w:val="false"/>
          <w:i w:val="false"/>
          <w:iCs w:val="false"/>
          <w:color w:val="1C2833"/>
          <w:sz w:val="20"/>
          <w:szCs w:val="20"/>
        </w:rPr>
        <w:t xml:space="preserve">Euclidean distance in n-D (Manhattan and NearestNeighbors as alternates). Min-max each column on the training fold only — a 2018 query against a 2016 max is allowed to scale above 1. Take the k smallest distances; uniform mean, then inverse-distance weighted mean ŷ = Σ(r/d) / Σ(1/d). Same pipeline via KNeighborsRegressor(weights="uniform"|"distance"). 75/25 split, seed 7, sweep k = 1…20 on MAE. Houses (sqft, year, baths) and used cars (mileage, age, litres) are extra practice. Simulation knobs: k, rating noise, train fraction, padded noise columns. Four audience rewrites in the memo.</w:t>
      </w:r>
    </w:p>
    <w:p>
      <w:pPr>
        <w:pStyle w:val="Heading1"/>
        <w:spacing w:after="80" w:before="160"/>
      </w:pPr>
      <w:r>
        <w:rPr>
          <w:rFonts w:ascii="Arial" w:cs="Arial" w:eastAsia="Arial" w:hAnsi="Arial"/>
          <w:b/>
          <w:bCs/>
          <w:color w:val="1B4F72"/>
          <w:sz w:val="24"/>
          <w:szCs w:val="24"/>
        </w:rPr>
        <w:t xml:space="preserve">Solution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5400"/>
      </w:tblGrid>
      <w:tr>
        <w:tc>
          <w:tcPr>
            <w:tcW w:type="dxa" w:w="2800"/>
            <w:tcBorders>
              <w:top w:val="single" w:color="BFBFBF" w:sz="4"/>
              <w:left w:val="single" w:color="BFBFBF" w:sz="4"/>
              <w:bottom w:val="single" w:color="BFBFBF" w:sz="4"/>
              <w:right w:val="single" w:color="BFBFBF" w:sz="4"/>
            </w:tcBorders>
            <w:shd w:fill="1B4F72" w:val="clear"/>
            <w:tcMar>
              <w:top w:type="dxa" w:w="40"/>
              <w:left w:type="dxa" w:w="70"/>
              <w:bottom w:type="dxa" w:w="40"/>
              <w:right w:type="dxa" w:w="70"/>
            </w:tcMar>
            <w:vAlign w:val="center"/>
          </w:tcPr>
          <w:p>
            <w:r>
              <w:rPr>
                <w:rFonts w:ascii="Arial" w:cs="Arial" w:eastAsia="Arial" w:hAnsi="Arial"/>
                <w:b/>
                <w:bCs/>
                <w:color w:val="FFFFFF"/>
                <w:sz w:val="16"/>
                <w:szCs w:val="16"/>
              </w:rPr>
              <w:t xml:space="preserve">Check</w:t>
            </w:r>
          </w:p>
        </w:tc>
        <w:tc>
          <w:tcPr>
            <w:tcW w:type="dxa" w:w="2800"/>
            <w:tcBorders>
              <w:top w:val="single" w:color="BFBFBF" w:sz="4"/>
              <w:left w:val="single" w:color="BFBFBF" w:sz="4"/>
              <w:bottom w:val="single" w:color="BFBFBF" w:sz="4"/>
              <w:right w:val="single" w:color="BFBFBF" w:sz="4"/>
            </w:tcBorders>
            <w:shd w:fill="1B4F72" w:val="clear"/>
            <w:tcMar>
              <w:top w:type="dxa" w:w="40"/>
              <w:left w:type="dxa" w:w="70"/>
              <w:bottom w:type="dxa" w:w="40"/>
              <w:right w:type="dxa" w:w="70"/>
            </w:tcMar>
            <w:vAlign w:val="center"/>
          </w:tcPr>
          <w:p>
            <w:r>
              <w:rPr>
                <w:rFonts w:ascii="Arial" w:cs="Arial" w:eastAsia="Arial" w:hAnsi="Arial"/>
                <w:b/>
                <w:bCs/>
                <w:color w:val="FFFFFF"/>
                <w:sz w:val="16"/>
                <w:szCs w:val="16"/>
              </w:rPr>
              <w:t xml:space="preserve">Result</w:t>
            </w:r>
          </w:p>
        </w:tc>
        <w:tc>
          <w:tcPr>
            <w:tcW w:type="dxa" w:w="5400"/>
            <w:tcBorders>
              <w:top w:val="single" w:color="BFBFBF" w:sz="4"/>
              <w:left w:val="single" w:color="BFBFBF" w:sz="4"/>
              <w:bottom w:val="single" w:color="BFBFBF" w:sz="4"/>
              <w:right w:val="single" w:color="BFBFBF" w:sz="4"/>
            </w:tcBorders>
            <w:shd w:fill="1B4F72" w:val="clear"/>
            <w:tcMar>
              <w:top w:type="dxa" w:w="40"/>
              <w:left w:type="dxa" w:w="70"/>
              <w:bottom w:type="dxa" w:w="40"/>
              <w:right w:type="dxa" w:w="70"/>
            </w:tcMar>
            <w:vAlign w:val="center"/>
          </w:tcPr>
          <w:p>
            <w:r>
              <w:rPr>
                <w:rFonts w:ascii="Arial" w:cs="Arial" w:eastAsia="Arial" w:hAnsi="Arial"/>
                <w:b/>
                <w:bCs/>
                <w:color w:val="FFFFFF"/>
                <w:sz w:val="16"/>
                <w:szCs w:val="16"/>
              </w:rPr>
              <w:t xml:space="preserve">Note</w:t>
            </w:r>
          </w:p>
        </w:tc>
      </w:tr>
      <w:tr>
        <w:tc>
          <w:tcPr>
            <w:tcW w:type="dxa" w:w="28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Life of Pi</w:t>
            </w:r>
          </w:p>
        </w:tc>
        <w:tc>
          <w:tcPr>
            <w:tcW w:type="dxa" w:w="28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[127, 2012, 120M] → 7.9</w:t>
            </w:r>
          </w:p>
        </w:tc>
        <w:tc>
          <w:tcPr>
            <w:tcW w:type="dxa" w:w="54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Pinned title used as the first neighbor of Incredibles 2</w:t>
            </w:r>
          </w:p>
        </w:tc>
      </w:tr>
      <w:tr>
        <w:tc>
          <w:tcPr>
            <w:tcW w:type="dxa" w:w="28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Incredibles 2 scaled</w:t>
            </w:r>
          </w:p>
        </w:tc>
        <w:tc>
          <w:tcPr>
            <w:tcW w:type="dxa" w:w="28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[0.269, 1.026, 0.798]</w:t>
            </w:r>
          </w:p>
        </w:tc>
        <w:tc>
          <w:tcPr>
            <w:tcW w:type="dxa" w:w="54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Year 2018 &gt; train max 2016, so scaled year &gt; 1</w:t>
            </w:r>
          </w:p>
        </w:tc>
      </w:tr>
      <w:tr>
        <w:tc>
          <w:tcPr>
            <w:tcW w:type="dxa" w:w="28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Uniform k = 5</w:t>
            </w:r>
          </w:p>
        </w:tc>
        <w:tc>
          <w:tcPr>
            <w:tcW w:type="dxa" w:w="28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ŷ = 7.44</w:t>
            </w:r>
          </w:p>
        </w:tc>
        <w:tc>
          <w:tcPr>
            <w:tcW w:type="dxa" w:w="54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Mean of Life of Pi, Inception, Dark Knight, Chicago, Silence of the Lambs</w:t>
            </w:r>
          </w:p>
        </w:tc>
      </w:tr>
      <w:tr>
        <w:tc>
          <w:tcPr>
            <w:tcW w:type="dxa" w:w="28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Weighted k = 5</w:t>
            </w:r>
          </w:p>
        </w:tc>
        <w:tc>
          <w:tcPr>
            <w:tcW w:type="dxa" w:w="28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ŷ = 7.80</w:t>
            </w:r>
          </w:p>
        </w:tc>
        <w:tc>
          <w:tcPr>
            <w:tcW w:type="dxa" w:w="54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Closer prestige titles pull the forecast up (lesson toy: 6.93 → 7.90)</w:t>
            </w:r>
          </w:p>
        </w:tc>
      </w:tr>
      <w:tr>
        <w:tc>
          <w:tcPr>
            <w:tcW w:type="dxa" w:w="28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Hold-out MAE</w:t>
            </w:r>
          </w:p>
        </w:tc>
        <w:tc>
          <w:tcPr>
            <w:tcW w:type="dxa" w:w="28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~0.65 at large k</w:t>
            </w:r>
          </w:p>
        </w:tc>
        <w:tc>
          <w:tcPr>
            <w:tcW w:type="dxa" w:w="54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80 films × 3 features is a weak rating model — MAE beats R² here</w:t>
            </w:r>
          </w:p>
        </w:tc>
      </w:tr>
      <w:tr>
        <w:tc>
          <w:tcPr>
            <w:tcW w:type="dxa" w:w="28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Houses / cars</w:t>
            </w:r>
          </w:p>
        </w:tc>
        <w:tc>
          <w:tcPr>
            <w:tcW w:type="dxa" w:w="28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k=5 MAE $30k · k=8 MAE $1.8k</w:t>
            </w:r>
          </w:p>
        </w:tc>
        <w:tc>
          <w:tcPr>
            <w:tcW w:type="dxa" w:w="5400"/>
            <w:tcBorders>
              <w:top w:val="single" w:color="BFBFBF" w:sz="4"/>
              <w:left w:val="single" w:color="BFBFBF" w:sz="4"/>
              <w:bottom w:val="single" w:color="BFBFBF" w:sz="4"/>
              <w:right w:val="single" w:color="BFBFBF" w:sz="4"/>
            </w:tcBorders>
            <w:shd w:fill="EAF2F8" w:val="clear"/>
            <w:tcMar>
              <w:top w:type="dxa" w:w="40"/>
              <w:left w:type="dxa" w:w="70"/>
              <w:bottom w:type="dxa" w:w="40"/>
              <w:right w:type="dxa" w:w="70"/>
            </w:tcMar>
            <w:vAlign w:val="center"/>
          </w:tcPr>
          <w:p>
            <w:r>
              <w:rPr>
                <w:rFonts w:ascii="Arial" w:cs="Arial" w:eastAsia="Arial" w:hAnsi="Arial"/>
                <w:b w:val="false"/>
                <w:bCs w:val="false"/>
                <w:color w:val="1C2833"/>
                <w:sz w:val="16"/>
                <w:szCs w:val="16"/>
              </w:rPr>
              <w:t xml:space="preserve">Same recipe on price targets; scale on train only</w:t>
            </w:r>
          </w:p>
        </w:tc>
      </w:tr>
    </w:tbl>
    <w:p>
      <w:pPr>
        <w:spacing w:after="80" w:before="80"/>
        <w:jc w:val="center"/>
      </w:pPr>
      <w:r>
        <w:drawing>
          <wp:inline distT="0" distB="0" distL="0" distR="0">
            <wp:extent cx="4095750" cy="2362200"/>
            <wp:effectExtent t="0" r="0" b="0" l="0"/>
            <wp:docPr id="1" name="Validation MAE versus k" descr="Validation MAE versus k" title="Validation MAE versus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62200"/>
                    </a:xfrm>
                    <a:prstGeom prst="rect">
                      <a:avLst/>
                    </a:prstGeom>
                  </pic:spPr>
                </pic:pic>
              </a:graphicData>
            </a:graphic>
          </wp:inline>
        </w:drawing>
      </w:r>
    </w:p>
    <w:p>
      <w:pPr>
        <w:spacing w:after="40" w:before="0"/>
        <w:jc w:val="left"/>
      </w:pPr>
      <w:r>
        <w:rPr>
          <w:rFonts w:ascii="Arial" w:cs="Arial" w:eastAsia="Arial" w:hAnsi="Arial"/>
          <w:b w:val="false"/>
          <w:bCs w:val="false"/>
          <w:i/>
          <w:iCs/>
          <w:color w:val="5D6D7E"/>
          <w:sz w:val="16"/>
          <w:szCs w:val="16"/>
        </w:rPr>
        <w:t xml:space="preserve">Validation MAE vs k (uniform vs distance-weighted). Companion: knn_regress_neighbors.png, knn_regress_weighted.png, knn_regress_simulation.png.</w:t>
      </w:r>
    </w:p>
    <w:p>
      <w:pPr>
        <w:pStyle w:val="Heading1"/>
        <w:spacing w:after="80" w:before="160"/>
      </w:pPr>
      <w:r>
        <w:rPr>
          <w:rFonts w:ascii="Arial" w:cs="Arial" w:eastAsia="Arial" w:hAnsi="Arial"/>
          <w:b/>
          <w:bCs/>
          <w:color w:val="1B4F72"/>
          <w:sz w:val="24"/>
          <w:szCs w:val="24"/>
        </w:rPr>
        <w:t xml:space="preserve">Key Takeaways</w:t>
      </w:r>
    </w:p>
    <w:p>
      <w:pPr>
        <w:pStyle w:val="ListParagraph"/>
        <w:numPr>
          <w:ilvl w:val="0"/>
          <w:numId w:val="2"/>
        </w:numPr>
        <w:spacing w:after="40"/>
      </w:pPr>
      <w:r>
        <w:rPr>
          <w:rFonts w:ascii="Arial" w:cs="Arial" w:eastAsia="Arial" w:hAnsi="Arial"/>
          <w:color w:val="1C2833"/>
          <w:sz w:val="20"/>
          <w:szCs w:val="20"/>
        </w:rPr>
        <w:t xml:space="preserve">Classifier votes; regressor averages. Weighted average lets the nearest ratings dominate.</w:t>
      </w:r>
    </w:p>
    <w:p>
      <w:pPr>
        <w:pStyle w:val="ListParagraph"/>
        <w:numPr>
          <w:ilvl w:val="0"/>
          <w:numId w:val="2"/>
        </w:numPr>
        <w:spacing w:after="40"/>
      </w:pPr>
      <w:r>
        <w:rPr>
          <w:rFonts w:ascii="Arial" w:cs="Arial" w:eastAsia="Arial" w:hAnsi="Arial"/>
          <w:color w:val="1C2833"/>
          <w:sz w:val="20"/>
          <w:szCs w:val="20"/>
        </w:rPr>
        <w:t xml:space="preserve">Normalize first. Unscaled budget quietly owns the neighbor list.</w:t>
      </w:r>
    </w:p>
    <w:p>
      <w:pPr>
        <w:pStyle w:val="ListParagraph"/>
        <w:numPr>
          <w:ilvl w:val="0"/>
          <w:numId w:val="2"/>
        </w:numPr>
        <w:spacing w:after="40"/>
      </w:pPr>
      <w:r>
        <w:rPr>
          <w:rFonts w:ascii="Arial" w:cs="Arial" w:eastAsia="Arial" w:hAnsi="Arial"/>
          <w:color w:val="1C2833"/>
          <w:sz w:val="20"/>
          <w:szCs w:val="20"/>
        </w:rPr>
        <w:t xml:space="preserve">Small k copies flukes; large k repeats the global mean. Pick k on hold-out MAE, not training fit.</w:t>
      </w:r>
    </w:p>
    <w:p>
      <w:pPr>
        <w:pStyle w:val="ListParagraph"/>
        <w:numPr>
          <w:ilvl w:val="0"/>
          <w:numId w:val="2"/>
        </w:numPr>
        <w:spacing w:after="40"/>
      </w:pPr>
      <w:r>
        <w:rPr>
          <w:rFonts w:ascii="Arial" w:cs="Arial" w:eastAsia="Arial" w:hAnsi="Arial"/>
          <w:color w:val="1C2833"/>
          <w:sz w:val="20"/>
          <w:szCs w:val="20"/>
        </w:rPr>
        <w:t xml:space="preserve">A query year beyond the training max is allowed to scale above 1 — do not clip.</w:t>
      </w:r>
    </w:p>
    <w:p>
      <w:pPr>
        <w:pStyle w:val="ListParagraph"/>
        <w:numPr>
          <w:ilvl w:val="0"/>
          <w:numId w:val="2"/>
        </w:numPr>
        <w:spacing w:after="40"/>
      </w:pPr>
      <w:r>
        <w:rPr>
          <w:rFonts w:ascii="Arial" w:cs="Arial" w:eastAsia="Arial" w:hAnsi="Arial"/>
          <w:color w:val="1C2833"/>
          <w:sz w:val="20"/>
          <w:szCs w:val="20"/>
        </w:rPr>
        <w:t xml:space="preserve">Cold start: a brand-new title (or user) with no nearby rows has nothing useful to average.</w:t>
      </w:r>
    </w:p>
    <w:sectPr>
      <w:headerReference w:type="default" r:id="rId7"/>
      <w:footerReference w:type="default" r:id="rId8"/>
      <w:pgSz w:w="12240" w:h="15840" w:orient="portrait"/>
      <w:pgMar w:top="560" w:right="620" w:bottom="5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D6D7E"/>
        <w:sz w:val="16"/>
        <w:szCs w:val="16"/>
      </w:rPr>
      <w:t xml:space="preserve">KNN_Regress 1-page  ·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left"/>
    </w:pPr>
    <w:r>
      <w:rPr>
        <w:rFonts w:ascii="Arial" w:cs="Arial" w:eastAsia="Arial" w:hAnsi="Arial"/>
        <w:b w:val="false"/>
        <w:bCs w:val="false"/>
        <w:i w:val="false"/>
        <w:iCs w:val="false"/>
        <w:color w:val="5D6D7E"/>
        <w:sz w:val="16"/>
        <w:szCs w:val="16"/>
      </w:rPr>
      <w:t xml:space="preserve">KNN_Regress  ·  Codecademy K-Nearest Neighbor Regressor (extended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3fec2d8681d6c3d271d49029ab667f16f0b9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2026-08-28T01:32:50.963Z</dcterms:created>
  <dcterms:modified xsi:type="dcterms:W3CDTF">2026-08-28T01:32:50.963Z</dcterms:modified>
</cp:coreProperties>
</file>

<file path=docProps/custom.xml><?xml version="1.0" encoding="utf-8"?>
<Properties xmlns="http://schemas.openxmlformats.org/officeDocument/2006/custom-properties" xmlns:vt="http://schemas.openxmlformats.org/officeDocument/2006/docPropsVTypes"/>
</file>