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Assumptions of Logistic Regression — Wisconsin Breast Cancer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Codecademy lab extended  ·  short name: LogReg_Assumptions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Problem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tumour is labelled benign or malignant from ten “mean” nucleus measurements. Classes are uneven (357 B / 212 M) and a missed malignancy is far costlier than a false alarm. Before fitting a classifier we must check the logistic assumptions (binary target, independent rows, enough events per variable, no wild outliers, logit-linearity, no multicollinearity), then choose an operating threshold that puts recall first.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Solution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1) Encode M/B as 1/0 and confirm one row per id. 2) Cap features by the 10-EPV rule (212/10 = 21.2). 3) Screen outliers on log-z boxplots; drop fractal_dimension_mean above the 99th percentile. 4) Keep radius_mean and drop perimeter/area (r ≥ 0.99); note compactness–concavity (r ≈ 0.88). 5) Fit an unregularized 4-feature logit. 6) Sweep the decision threshold, draw the ROC, and compare default vs stratified vs class_weight='balanced'. 7) Stress-test with a Monte-Carlo on n, label noise and threshold.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Solution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Hold-out (random_state=0, 30%): accuracy ≈ 0.91, precision ≈ 0.85, recall ≈ 0.90, F1 ≈ 0.88, AUC ≈ 0.98. Confusion at t=0.50: TN 98 / FP 10 / FN 6 / TP 57. Lowering the cut to 0.25 cuts FN to 2 and raises FP to 14 — the clinical direction of travel. Dummy most-frequent AUC = 0.50.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3467100"/>
            <wp:effectExtent t="0" r="0" b="0" l="0"/>
            <wp:docPr id="1" name="Project flowchart" descr="Project flowchart" title="Project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2190750" cy="1971675"/>
            <wp:effectExtent t="0" r="0" b="0" l="0"/>
            <wp:docPr id="1" name="ROC curve" descr="ROC curve" title="ROC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6"/>
          <w:szCs w:val="16"/>
        </w:rPr>
        <w:t xml:space="preserve">Left: workflow from assumption checks through threshold and imbalance tools. Right: ROC vs a most-frequent dummy; labelled thresholds sit along the curve. Sitting near t≈0.25 keeps TPR high at a moderate FPR.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Assumption checks are not decoration: collinear size features and a heavy fractal tail would have distorted coefficients.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Accuracy is the friendliest number and the least useful here — quote recall, FN count and AUC.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 = 0.5 is a software default, not a clinical policy. Move it until the FN budget is met.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class_weight='balanced' and stratified splits are cheap insurance when positivity ≠ 0.5.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use this procedure for repeated measures, &lt;10 EPV, 3+ classes, or causal claims from observational features.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LogReg_Assumptions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LogReg_Assumptions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88fa46c528ea525a20d6668bd7ef71fcf34b5c.png"/><Relationship Id="rId10" Type="http://schemas.openxmlformats.org/officeDocument/2006/relationships/image" Target="media/c8b1a48071fbce963f0f3334846adbce6cb930f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2026-08-29T03:00:28.530Z</dcterms:created>
  <dcterms:modified xsi:type="dcterms:W3CDTF">2026-08-29T03:00:28.530Z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