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32"/>
          <w:szCs w:val="32"/>
        </w:rPr>
        <w:t xml:space="preserve">Project Memo — How to talk about this model</w:t>
      </w:r>
    </w:p>
    <w:p>
      <w:pPr>
        <w:spacing w:after="120" w:before="0"/>
        <w:jc w:val="left"/>
      </w:pPr>
      <w:r>
        <w:rPr>
          <w:rFonts w:ascii="Arial" w:cs="Arial" w:eastAsia="Arial" w:hAnsi="Arial"/>
          <w:b w:val="false"/>
          <w:bCs w:val="false"/>
          <w:i/>
          <w:iCs/>
          <w:color w:val="222222"/>
          <w:sz w:val="18"/>
          <w:szCs w:val="18"/>
        </w:rPr>
        <w:t xml:space="preserve">Source notes: Jočys, “What to Consider When Considering the Audience”; McMurrey, “Audience and Situation Analysis”; “Structure of a Data Analysis Report”. One finding, four readers.</w:t>
      </w:r>
    </w:p>
    <w:p>
      <w:pPr>
        <w:pStyle w:val="Heading1"/>
        <w:spacing w:after="80" w:before="200"/>
      </w:pPr>
      <w:r>
        <w:rPr>
          <w:rFonts w:ascii="Arial" w:cs="Arial" w:eastAsia="Arial" w:hAnsi="Arial"/>
          <w:b/>
          <w:bCs/>
          <w:color w:val="1B4F72"/>
        </w:rPr>
        <w:t xml:space="preserve">The finding we will rewrite</w:t>
      </w:r>
    </w:p>
    <w:p>
      <w:pPr>
        <w:spacing w:after="120" w:before="0"/>
        <w:jc w:val="left"/>
      </w:pPr>
      <w:r>
        <w:rPr>
          <w:rFonts w:ascii="Arial" w:cs="Arial" w:eastAsia="Arial" w:hAnsi="Arial"/>
          <w:b w:val="false"/>
          <w:bCs w:val="false"/>
          <w:i w:val="false"/>
          <w:iCs w:val="false"/>
          <w:color w:val="222222"/>
          <w:sz w:val="20"/>
          <w:szCs w:val="20"/>
        </w:rPr>
        <w:t xml:space="preserve">An unpenalized logistic model on radius_mean, texture_mean, compactness_mean and symmetry_mean reaches AUC ≈ 0.98 on a 30% hold-out. At the default 50% cut it misses 6 malignancies and raises 10 false alarms (n=171). Dropping the cut to 25% misses 2 and raises 14 false alarms.</w:t>
      </w:r>
    </w:p>
    <w:p>
      <w:pPr>
        <w:pStyle w:val="Heading1"/>
        <w:spacing w:after="80" w:before="200"/>
      </w:pPr>
      <w:r>
        <w:rPr>
          <w:rFonts w:ascii="Arial" w:cs="Arial" w:eastAsia="Arial" w:hAnsi="Arial"/>
          <w:b/>
          <w:bCs/>
          <w:color w:val="1B4F72"/>
        </w:rPr>
        <w:t xml:space="preserve">Expert (data-literate, subject-literate)</w:t>
      </w:r>
    </w:p>
    <w:p>
      <w:pPr>
        <w:spacing w:after="120" w:before="0"/>
        <w:jc w:val="left"/>
      </w:pPr>
      <w:r>
        <w:rPr>
          <w:rFonts w:ascii="Arial" w:cs="Arial" w:eastAsia="Arial" w:hAnsi="Arial"/>
          <w:b w:val="false"/>
          <w:bCs w:val="false"/>
          <w:i w:val="false"/>
          <w:iCs w:val="false"/>
          <w:color w:val="222222"/>
          <w:sz w:val="20"/>
          <w:szCs w:val="20"/>
        </w:rPr>
        <w:t xml:space="preserve">Skip definitions of AUC and FN. Lead with operating point, EPV, and the collinearity drop. They will want the Wald table (statsmodels) and will notice if you left perimeter next to radius. Waterfall / P&amp;L conventions do not apply; a labelled ROC and a small CM table do.</w:t>
      </w:r>
    </w:p>
    <w:p>
      <w:pPr>
        <w:pStyle w:val="Heading1"/>
        <w:spacing w:after="80" w:before="200"/>
      </w:pPr>
      <w:r>
        <w:rPr>
          <w:rFonts w:ascii="Arial" w:cs="Arial" w:eastAsia="Arial" w:hAnsi="Arial"/>
          <w:b/>
          <w:bCs/>
          <w:color w:val="1B4F72"/>
        </w:rPr>
        <w:t xml:space="preserve">Technician (builds, runs, maintains)</w:t>
      </w:r>
    </w:p>
    <w:p>
      <w:pPr>
        <w:spacing w:after="120" w:before="0"/>
        <w:jc w:val="left"/>
      </w:pPr>
      <w:r>
        <w:rPr>
          <w:rFonts w:ascii="Arial" w:cs="Arial" w:eastAsia="Arial" w:hAnsi="Arial"/>
          <w:b w:val="false"/>
          <w:bCs w:val="false"/>
          <w:i w:val="false"/>
          <w:iCs w:val="false"/>
          <w:color w:val="222222"/>
          <w:sz w:val="20"/>
          <w:szCs w:val="20"/>
        </w:rPr>
        <w:t xml:space="preserve">Give the exact constructor, column list, random_state, and the predict_proba[:,1] ≥ t rule. Mention penalty=None vs the old 'none' string so a CI image does not break. Tell them where the 99th-percentile filter lives and that ids must stay unique after it. They do not need a lecture on why recall matters; they need the SOP cut written as a number.</w:t>
      </w:r>
    </w:p>
    <w:p>
      <w:pPr>
        <w:pStyle w:val="Heading1"/>
        <w:spacing w:after="80" w:before="200"/>
      </w:pPr>
      <w:r>
        <w:rPr>
          <w:rFonts w:ascii="Arial" w:cs="Arial" w:eastAsia="Arial" w:hAnsi="Arial"/>
          <w:b/>
          <w:bCs/>
          <w:color w:val="1B4F72"/>
        </w:rPr>
        <w:t xml:space="preserve">Executive (decides, does not fit models)</w:t>
      </w:r>
    </w:p>
    <w:p>
      <w:pPr>
        <w:spacing w:after="120" w:before="0"/>
        <w:jc w:val="left"/>
      </w:pPr>
      <w:r>
        <w:rPr>
          <w:rFonts w:ascii="Arial" w:cs="Arial" w:eastAsia="Arial" w:hAnsi="Arial"/>
          <w:b w:val="false"/>
          <w:bCs w:val="false"/>
          <w:i w:val="false"/>
          <w:iCs w:val="false"/>
          <w:color w:val="222222"/>
          <w:sz w:val="20"/>
          <w:szCs w:val="20"/>
        </w:rPr>
        <w:t xml:space="preserve">One headline: we can trade a handful of extra second looks for four fewer missed cancers on this test list. AUC 0.98 is the quality stamp; t is the policy knob. State clearly that the score is decision support, not a diagnosis, and that the file is historical FNA measurements — not a prospective trial.</w:t>
      </w:r>
    </w:p>
    <w:p>
      <w:pPr>
        <w:pStyle w:val="Heading1"/>
        <w:spacing w:after="80" w:before="200"/>
      </w:pPr>
      <w:r>
        <w:rPr>
          <w:rFonts w:ascii="Arial" w:cs="Arial" w:eastAsia="Arial" w:hAnsi="Arial"/>
          <w:b/>
          <w:bCs/>
          <w:color w:val="1B4F72"/>
        </w:rPr>
        <w:t xml:space="preserve">Nonspecialist (curious, low data literacy)</w:t>
      </w:r>
    </w:p>
    <w:p>
      <w:pPr>
        <w:spacing w:after="120" w:before="0"/>
        <w:jc w:val="left"/>
      </w:pPr>
      <w:r>
        <w:rPr>
          <w:rFonts w:ascii="Arial" w:cs="Arial" w:eastAsia="Arial" w:hAnsi="Arial"/>
          <w:b w:val="false"/>
          <w:bCs w:val="false"/>
          <w:i w:val="false"/>
          <w:iCs w:val="false"/>
          <w:color w:val="222222"/>
          <w:sz w:val="20"/>
          <w:szCs w:val="20"/>
        </w:rPr>
        <w:t xml:space="preserve">No σ(z), no EPV, no heatmap. Cells that look larger and more irregular get a higher risk score. A cautious cut-off catches almost every dangerous case in the practice file and occasionally sends a harmless one for another look. Bars and a simple “missed / caught” count beat a ROC.</w:t>
      </w:r>
    </w:p>
    <w:p>
      <w:pPr>
        <w:pStyle w:val="Heading1"/>
        <w:spacing w:after="80" w:before="200"/>
      </w:pPr>
      <w:r>
        <w:rPr>
          <w:rFonts w:ascii="Arial" w:cs="Arial" w:eastAsia="Arial" w:hAnsi="Arial"/>
          <w:b/>
          <w:bCs/>
          <w:color w:val="1B4F72"/>
        </w:rPr>
        <w:t xml:space="preserve">Mixed-audience document (McMurrey)</w:t>
      </w:r>
    </w:p>
    <w:p>
      <w:pPr>
        <w:spacing w:after="120" w:before="0"/>
        <w:jc w:val="left"/>
      </w:pPr>
      <w:r>
        <w:rPr>
          <w:rFonts w:ascii="Arial" w:cs="Arial" w:eastAsia="Arial" w:hAnsi="Arial"/>
          <w:b w:val="false"/>
          <w:bCs w:val="false"/>
          <w:i w:val="false"/>
          <w:iCs w:val="false"/>
          <w:color w:val="222222"/>
          <w:sz w:val="20"/>
          <w:szCs w:val="20"/>
        </w:rPr>
        <w:t xml:space="preserve">Put the executive headline and the recommended threshold in the Introduction. Put coefficients, assumption plots and the simulation in the Body with jump-links. Park solver flags, full CM grids and extra practice in an Appendix. That is the paper-structure.pdf pattern: one memo, three depths.</w:t>
      </w:r>
    </w:p>
    <w:p>
      <w:pPr>
        <w:pStyle w:val="Heading1"/>
        <w:spacing w:after="80" w:before="200"/>
      </w:pPr>
      <w:r>
        <w:rPr>
          <w:rFonts w:ascii="Arial" w:cs="Arial" w:eastAsia="Arial" w:hAnsi="Arial"/>
          <w:b/>
          <w:bCs/>
          <w:color w:val="1B4F72"/>
        </w:rPr>
        <w:t xml:space="preserve">Situation</w:t>
      </w:r>
    </w:p>
    <w:p>
      <w:pPr>
        <w:spacing w:after="120" w:before="0"/>
        <w:jc w:val="left"/>
      </w:pPr>
      <w:r>
        <w:rPr>
          <w:rFonts w:ascii="Arial" w:cs="Arial" w:eastAsia="Arial" w:hAnsi="Arial"/>
          <w:b w:val="false"/>
          <w:bCs w:val="false"/>
          <w:i w:val="false"/>
          <w:iCs w:val="false"/>
          <w:color w:val="222222"/>
          <w:sz w:val="20"/>
          <w:szCs w:val="20"/>
        </w:rPr>
        <w:t xml:space="preserve">Readers are time-poor and the cost of a miss is asymmetric. Do not bury FN in a paragraph of four metrics. Do not use humour or sports metaphors in a cancer memo. Dates and decimal marks follow the local lab convention.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LogReg_Assumptions  ·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left"/>
    </w:pPr>
    <w:r>
      <w:rPr>
        <w:rFonts w:ascii="Arial" w:cs="Arial" w:eastAsia="Arial" w:hAnsi="Arial"/>
        <w:b w:val="false"/>
        <w:bCs w:val="false"/>
        <w:i w:val="false"/>
        <w:iCs w:val="false"/>
        <w:color w:val="666666"/>
        <w:sz w:val="16"/>
        <w:szCs w:val="16"/>
      </w:rPr>
      <w:t xml:space="preserve">Project memo  ·  LogReg_Assumptions  ·  audience-adapted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540" w:hanging="260"/>
      </w:pPr>
    </w:lvl>
  </w:abstractNum>
  <w:abstractNum w:abstractNumId="4" w15:restartNumberingAfterBreak="0">
    <w:multiLevelType w:val="hybridMultilevel"/>
    <w:lvl w:ilvl="0" w15:tentative="1">
      <w:start w:val="1"/>
      <w:numFmt w:val="decimal"/>
      <w:lvlText w:val="%1."/>
      <w:lvlJc w:val="left"/>
      <w:pPr>
        <w:ind w:left="540" w:hanging="260"/>
      </w:pPr>
    </w:lvl>
  </w:abstractNum>
  <w:abstractNum w:abstractNumId="5" w15:restartNumberingAfterBreak="0">
    <w:multiLevelType w:val="hybridMultilevel"/>
    <w:lvl w:ilvl="0" w15:tentative="1">
      <w:start w:val="1"/>
      <w:numFmt w:val="decimal"/>
      <w:lvlText w:val="%1."/>
      <w:lvlJc w:val="left"/>
      <w:pPr>
        <w:ind w:left="540" w:hanging="260"/>
      </w:pPr>
    </w:lvl>
  </w:abstractNum>
  <w:abstractNum w:abstractNumId="6"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20"/>
      <w:outlineLvl w:val="0"/>
    </w:pPr>
    <w:rPr>
      <w:rFonts w:ascii="Arial" w:cs="Arial" w:eastAsia="Arial" w:hAnsi="Arial"/>
      <w:b/>
      <w:bCs/>
      <w:color w:val="1B4F72"/>
      <w:sz w:val="28"/>
      <w:szCs w:val="28"/>
    </w:rPr>
  </w:style>
  <w:style w:type="paragraph" w:styleId="Heading2">
    <w:name w:val="Heading 2"/>
    <w:basedOn w:val="Normal"/>
    <w:next w:val="Normal"/>
    <w:qFormat/>
    <w:pPr>
      <w:spacing w:after="60" w:before="180"/>
      <w:outlineLvl w:val="1"/>
    </w:pPr>
    <w:rPr>
      <w:rFonts w:ascii="Arial" w:cs="Arial" w:eastAsia="Arial" w:hAnsi="Arial"/>
      <w:b/>
      <w:bCs/>
      <w:color w:val="0E66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2026-08-29T03:00:29.135Z</dcterms:created>
  <dcterms:modified xsi:type="dcterms:W3CDTF">2026-08-29T03:00:29.135Z</dcterms:modified>
</cp:coreProperties>
</file>

<file path=docProps/custom.xml><?xml version="1.0" encoding="utf-8"?>
<Properties xmlns="http://schemas.openxmlformats.org/officeDocument/2006/custom-properties" xmlns:vt="http://schemas.openxmlformats.org/officeDocument/2006/docPropsVTypes"/>
</file>