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Assumptions of Logistic Regression — Cyber Phishing Screen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Security adaptation of the Codecademy LR-assumptions lab  ·  short name: LogReg_Cyber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Problem Statement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SOC must score inbound URLs as phishing or benign from a short feature card (length, subdomains, raw IP, HTTPS, digit ratio). Phish is the minority class (243 / 720) and a miss reaches a human inbox. Before the classifier ships we check logistic assumptions, then pick an operating threshold that puts catch-rate ahead of ticket volume.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Solution Strategy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1) Encode PHISH/BENIGN as 1/0 and confirm one row per event_id. 2) Cap features by the 10-EPV rule (243/10 = 24.3). 3) Screen outliers on log-z boxplots; drop extreme redirect_count. 4) Drop path_length (r ≈ 0.97 with url_length) and request_hour (flat logit). 5) Fit an unregularized 5-feature logit. 6) Sweep the decision threshold, draw the ROC, compare default vs stratified vs class_weight='balanced'. 7) Transfer the same workflow to a brute-force login file and stress-test n, noise and threshold.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Solution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Hold-out (random_state=0, 30%): accuracy ≈ 0.81, precision ≈ 0.77, recall ≈ 0.65, F1 ≈ 0.71, AUC ≈ 0.87. Confusion at t=0.50: TN 123 / FP 15 / FN 27 / TP 51. Lowering the cut to 0.25 cuts missed phish to 7 and raises extra tickets to 46 — the gateway direction of travel. Dummy most-frequent AUC = 0.50.</w:t>
      </w:r>
    </w:p>
    <w:p>
      <w:pPr>
        <w:spacing w:after="80" w:before="80"/>
        <w:jc w:val="center"/>
      </w:pPr>
      <w:r>
        <w:drawing>
          <wp:inline distT="0" distB="0" distL="0" distR="0">
            <wp:extent cx="4476750" cy="3390900"/>
            <wp:effectExtent t="0" r="0" b="0" l="0"/>
            <wp:docPr id="1" name="Cyber LR flowchart" descr="Cyber LR flowchart" title="Cyber LR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2095500" cy="1885950"/>
            <wp:effectExtent t="0" r="0" b="0" l="0"/>
            <wp:docPr id="1" name="Phishing ROC" descr="Phishing ROC" title="Phishing R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6"/>
          <w:szCs w:val="16"/>
        </w:rPr>
        <w:t xml:space="preserve">Left: assume → fit → SOC threshold → ROC / imbalance. Right: ROC vs a most-frequent dummy. Sit on the upper-left of the curve (t ≈ 0.25) when a miss costs more than a ticket.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 not put url_length and path_length in the same scorecard — they are the same size signal twice.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Accuracy is flattering here because most URLs are benign. Quote catch-rate, FN count and tickets-per-hour.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 = 0.5 is a library default, not a CISO policy. Move it until the miss budget is met.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class_weight='balanced' lifts catch-rate when the SOC prior is not 50/50.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is a first-pass risk score, not a verdict and not a causal model of “why phishing happens”.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LogReg_Cyber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LogReg_Cyber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e772c3b25db06c3f054259cfcb4f504388f14ef.png"/><Relationship Id="rId10" Type="http://schemas.openxmlformats.org/officeDocument/2006/relationships/image" Target="media/c3d83c7652e7daeaf045cabad782c277e35ca2b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2026-08-29T03:28:43.505Z</dcterms:created>
  <dcterms:modified xsi:type="dcterms:W3CDTF">2026-08-29T03:28:43.505Z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