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2"/>
          <w:szCs w:val="32"/>
        </w:rPr>
        <w:t xml:space="preserve">Project Memo — Talking about the phishing score</w:t>
      </w:r>
    </w:p>
    <w:p>
      <w:pPr>
        <w:spacing w:after="120" w:before="0"/>
        <w:jc w:val="left"/>
      </w:pPr>
      <w:r>
        <w:rPr>
          <w:rFonts w:ascii="Arial" w:cs="Arial" w:eastAsia="Arial" w:hAnsi="Arial"/>
          <w:b w:val="false"/>
          <w:bCs w:val="false"/>
          <w:i/>
          <w:iCs/>
          <w:color w:val="222222"/>
          <w:sz w:val="18"/>
          <w:szCs w:val="18"/>
        </w:rPr>
        <w:t xml:space="preserve">Source notes: Jočys audience checklist; McMurrey expert / technician / executive / nonspecialist; data-analysis report structure. One finding, four readers.</w:t>
      </w:r>
    </w:p>
    <w:p>
      <w:pPr>
        <w:pStyle w:val="Heading1"/>
        <w:spacing w:after="80" w:before="200"/>
      </w:pPr>
      <w:r>
        <w:rPr>
          <w:rFonts w:ascii="Arial" w:cs="Arial" w:eastAsia="Arial" w:hAnsi="Arial"/>
          <w:b/>
          <w:bCs/>
          <w:color w:val="1B4F72"/>
        </w:rPr>
        <w:t xml:space="preserve">The finding</w:t>
      </w:r>
    </w:p>
    <w:p>
      <w:pPr>
        <w:spacing w:after="120" w:before="0"/>
        <w:jc w:val="left"/>
      </w:pPr>
      <w:r>
        <w:rPr>
          <w:rFonts w:ascii="Arial" w:cs="Arial" w:eastAsia="Arial" w:hAnsi="Arial"/>
          <w:b w:val="false"/>
          <w:bCs w:val="false"/>
          <w:i w:val="false"/>
          <w:iCs w:val="false"/>
          <w:color w:val="222222"/>
          <w:sz w:val="20"/>
          <w:szCs w:val="20"/>
        </w:rPr>
        <w:t xml:space="preserve">A five-feature unpenalized logit on URL events reaches AUC ≈ 0.87 on a 30% hold-out. At the default 50% cut it misses 27 phish and opens 15 extra tickets (n=216). Dropping the cut to 25% misses 7 and opens 46 extra tickets.</w:t>
      </w:r>
    </w:p>
    <w:p>
      <w:pPr>
        <w:pStyle w:val="Heading1"/>
        <w:spacing w:after="80" w:before="200"/>
      </w:pPr>
      <w:r>
        <w:rPr>
          <w:rFonts w:ascii="Arial" w:cs="Arial" w:eastAsia="Arial" w:hAnsi="Arial"/>
          <w:b/>
          <w:bCs/>
          <w:color w:val="1B4F72"/>
        </w:rPr>
        <w:t xml:space="preserve">Expert (detection engineer / threat hunter)</w:t>
      </w:r>
    </w:p>
    <w:p>
      <w:pPr>
        <w:spacing w:after="120" w:before="0"/>
        <w:jc w:val="left"/>
      </w:pPr>
      <w:r>
        <w:rPr>
          <w:rFonts w:ascii="Arial" w:cs="Arial" w:eastAsia="Arial" w:hAnsi="Arial"/>
          <w:b w:val="false"/>
          <w:bCs w:val="false"/>
          <w:i w:val="false"/>
          <w:iCs w:val="false"/>
          <w:color w:val="222222"/>
          <w:sz w:val="20"/>
          <w:szCs w:val="20"/>
        </w:rPr>
        <w:t xml:space="preserve">Skip definitions of AUC. Lead with the operating point, the collinear drop of path_length, the failed request_hour screen, and the negative has_https sign. They will want a Wald table and will reject a scorecard that mixes raw and collinear size features.</w:t>
      </w:r>
    </w:p>
    <w:p>
      <w:pPr>
        <w:pStyle w:val="Heading1"/>
        <w:spacing w:after="80" w:before="200"/>
      </w:pPr>
      <w:r>
        <w:rPr>
          <w:rFonts w:ascii="Arial" w:cs="Arial" w:eastAsia="Arial" w:hAnsi="Arial"/>
          <w:b/>
          <w:bCs/>
          <w:color w:val="1B4F72"/>
        </w:rPr>
        <w:t xml:space="preserve">Technician (SOC / SIEM engineer)</w:t>
      </w:r>
    </w:p>
    <w:p>
      <w:pPr>
        <w:spacing w:after="120" w:before="0"/>
        <w:jc w:val="left"/>
      </w:pPr>
      <w:r>
        <w:rPr>
          <w:rFonts w:ascii="Arial" w:cs="Arial" w:eastAsia="Arial" w:hAnsi="Arial"/>
          <w:b w:val="false"/>
          <w:bCs w:val="false"/>
          <w:i w:val="false"/>
          <w:iCs w:val="false"/>
          <w:color w:val="222222"/>
          <w:sz w:val="20"/>
          <w:szCs w:val="20"/>
        </w:rPr>
        <w:t xml:space="preserve">Give the constructor, column list, random_state, and the predict_proba[:,1] ≥ t rule. Spell out penalty=None vs the old 'none' string. Tell them where the redirect_count filter lives and that event_id must stay unique after it. Write the SOP cut as a number, not a paragraph about recall.</w:t>
      </w:r>
    </w:p>
    <w:p>
      <w:pPr>
        <w:pStyle w:val="Heading1"/>
        <w:spacing w:after="80" w:before="200"/>
      </w:pPr>
      <w:r>
        <w:rPr>
          <w:rFonts w:ascii="Arial" w:cs="Arial" w:eastAsia="Arial" w:hAnsi="Arial"/>
          <w:b/>
          <w:bCs/>
          <w:color w:val="1B4F72"/>
        </w:rPr>
        <w:t xml:space="preserve">Executive (CISO / risk committee)</w:t>
      </w:r>
    </w:p>
    <w:p>
      <w:pPr>
        <w:spacing w:after="120" w:before="0"/>
        <w:jc w:val="left"/>
      </w:pPr>
      <w:r>
        <w:rPr>
          <w:rFonts w:ascii="Arial" w:cs="Arial" w:eastAsia="Arial" w:hAnsi="Arial"/>
          <w:b w:val="false"/>
          <w:bCs w:val="false"/>
          <w:i w:val="false"/>
          <w:iCs w:val="false"/>
          <w:color w:val="222222"/>
          <w:sz w:val="20"/>
          <w:szCs w:val="20"/>
        </w:rPr>
        <w:t xml:space="preserve">One headline: we can trade a larger ticket queue for far fewer missed phishing pages. AUC 0.87 is the quality stamp; t is the policy knob. State that this is a first-pass gateway score, not a block-without-review verdict, and that the file is a teaching proxy — not last week’s production stream.</w:t>
      </w:r>
    </w:p>
    <w:p>
      <w:pPr>
        <w:pStyle w:val="Heading1"/>
        <w:spacing w:after="80" w:before="200"/>
      </w:pPr>
      <w:r>
        <w:rPr>
          <w:rFonts w:ascii="Arial" w:cs="Arial" w:eastAsia="Arial" w:hAnsi="Arial"/>
          <w:b/>
          <w:bCs/>
          <w:color w:val="1B4F72"/>
        </w:rPr>
        <w:t xml:space="preserve">Nonspecialist (staff / board-adjacent)</w:t>
      </w:r>
    </w:p>
    <w:p>
      <w:pPr>
        <w:spacing w:after="120" w:before="0"/>
        <w:jc w:val="left"/>
      </w:pPr>
      <w:r>
        <w:rPr>
          <w:rFonts w:ascii="Arial" w:cs="Arial" w:eastAsia="Arial" w:hAnsi="Arial"/>
          <w:b w:val="false"/>
          <w:bCs w:val="false"/>
          <w:i w:val="false"/>
          <w:iCs w:val="false"/>
          <w:color w:val="222222"/>
          <w:sz w:val="20"/>
          <w:szCs w:val="20"/>
        </w:rPr>
        <w:t xml:space="preserve">No σ(z), no EPV. Odd-looking links (very long, an IP instead of a name, lots of digits, no lock icon) get a higher risk score. A cautious cut-off catches almost every bad link in the practice file and sends extra harmless ones to a reviewer. That extra review is how fewer people click scams.</w:t>
      </w:r>
    </w:p>
    <w:p>
      <w:pPr>
        <w:pStyle w:val="Heading1"/>
        <w:spacing w:after="80" w:before="200"/>
      </w:pPr>
      <w:r>
        <w:rPr>
          <w:rFonts w:ascii="Arial" w:cs="Arial" w:eastAsia="Arial" w:hAnsi="Arial"/>
          <w:b/>
          <w:bCs/>
          <w:color w:val="1B4F72"/>
        </w:rPr>
        <w:t xml:space="preserve">Mixed-audience note</w:t>
      </w:r>
    </w:p>
    <w:p>
      <w:pPr>
        <w:spacing w:after="120" w:before="0"/>
        <w:jc w:val="left"/>
      </w:pPr>
      <w:r>
        <w:rPr>
          <w:rFonts w:ascii="Arial" w:cs="Arial" w:eastAsia="Arial" w:hAnsi="Arial"/>
          <w:b w:val="false"/>
          <w:bCs w:val="false"/>
          <w:i w:val="false"/>
          <w:iCs w:val="false"/>
          <w:color w:val="222222"/>
          <w:sz w:val="20"/>
          <w:szCs w:val="20"/>
        </w:rPr>
        <w:t xml:space="preserve">Put the CISO headline and the recommended threshold in the Introduction. Put coefficients, assumption plots and the simulation in the Body. Park solver flags and the login transfer problem in an Appendix.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LogReg_Cyber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val="false"/>
        <w:bCs w:val="false"/>
        <w:i w:val="false"/>
        <w:iCs w:val="false"/>
        <w:color w:val="666666"/>
        <w:sz w:val="16"/>
        <w:szCs w:val="16"/>
      </w:rPr>
      <w:t xml:space="preserve">Project memo  ·  LogReg_Cyber  ·  audience-adapted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1B4F72"/>
      <w:sz w:val="28"/>
      <w:szCs w:val="28"/>
    </w:rPr>
  </w:style>
  <w:style w:type="paragraph" w:styleId="Heading2">
    <w:name w:val="Heading 2"/>
    <w:basedOn w:val="Normal"/>
    <w:next w:val="Normal"/>
    <w:qFormat/>
    <w:pPr>
      <w:spacing w:after="60" w:before="180"/>
      <w:outlineLvl w:val="1"/>
    </w:pPr>
    <w:rPr>
      <w:rFonts w:ascii="Arial" w:cs="Arial" w:eastAsia="Arial" w:hAnsi="Arial"/>
      <w:b/>
      <w:bCs/>
      <w:color w:val="0E66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2026-08-29T03:28:44.162Z</dcterms:created>
  <dcterms:modified xsi:type="dcterms:W3CDTF">2026-08-29T03:28:44.162Z</dcterms:modified>
</cp:coreProperties>
</file>

<file path=docProps/custom.xml><?xml version="1.0" encoding="utf-8"?>
<Properties xmlns="http://schemas.openxmlformats.org/officeDocument/2006/custom-properties" xmlns:vt="http://schemas.openxmlformats.org/officeDocument/2006/docPropsVTypes"/>
</file>