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Project Memo: Audience &amp; Situation Analysis</w:t>
      </w:r>
    </w:p>
    <w:p>
      <w:pPr>
        <w:spacing w:after="70"/>
      </w:pPr>
      <w:r>
        <w:t xml:space="preserve">Applies principles from “What to Consider When Considering the Audience” and “Audience and Situation Analysis” to the Economics Linear Regression extended project (advertising → sales and consumption function).</w:t>
      </w:r>
    </w:p>
    <w:p>
      <w:pPr>
        <w:pStyle w:val="Heading2"/>
      </w:pPr>
      <w:r>
        <w:t xml:space="preserve">1. Data Literacy</w:t>
      </w:r>
    </w:p>
    <w:p>
      <w:pPr>
        <w:spacing w:after="50"/>
      </w:pPr>
      <w:r>
        <w:t xml:space="preserve">Economists, data analysts and quantitative marketers are typically highly data-literate: scatter plots, residual plots, R² and even gradient formulas are appropriate. Marketing or finance executives may be less comfortable with optimisation mathematics; give them the marginal effect and R² in plain language. Non-specialists need only a rising line through a cloud of points and a one-sentence story.</w:t>
      </w:r>
    </w:p>
    <w:p>
      <w:pPr>
        <w:pStyle w:val="Heading2"/>
      </w:pPr>
      <w:r>
        <w:t xml:space="preserve">2. Subject Knowledge</w:t>
      </w:r>
    </w:p>
    <w:p>
      <w:pPr>
        <w:spacing w:after="50"/>
      </w:pPr>
      <w:r>
        <w:t xml:space="preserve">Subject-matter experts (industrial-organisation or marketing economists, brand managers) already understand that advertising can raise sales; they want the quantitative slope, uncertainty, and caveats (omitted variables, reverse causality, diminishing returns). Macroeconomists reading the consumption practice already know the Keynesian consumption function; they want the estimated MPC and a brief statement of limitations. Complete newcomers need a short definition of the variables before any numbers appear.</w:t>
      </w:r>
    </w:p>
    <w:p>
      <w:pPr>
        <w:pStyle w:val="Heading2"/>
      </w:pPr>
      <w:r>
        <w:t xml:space="preserve">3. Audience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4"/>
              <w:left w:val="single" w:color="CCCCCC" w:sz="4"/>
              <w:bottom w:val="single" w:color="CCCCCC" w:sz="4"/>
              <w:right w:val="single" w:color="CCCCCC" w:sz="4"/>
            </w:tcBorders>
            <w:shd w:fill="1B4F72" w:val="clear"/>
          </w:tcPr>
          <w:p>
            <w:r>
              <w:rPr>
                <w:rFonts w:ascii="Calibri" w:cs="Calibri" w:eastAsia="Calibri" w:hAnsi="Calibri"/>
                <w:b/>
                <w:bCs/>
                <w:color w:val="FFFFFF"/>
                <w:sz w:val="18"/>
                <w:szCs w:val="18"/>
              </w:rPr>
              <w:t xml:space="preserve">Type</w:t>
            </w:r>
          </w:p>
        </w:tc>
        <w:tc>
          <w:tcPr>
            <w:tcW w:type="dxa" w:w="3580"/>
            <w:tcBorders>
              <w:top w:val="single" w:color="CCCCCC" w:sz="4"/>
              <w:left w:val="single" w:color="CCCCCC" w:sz="4"/>
              <w:bottom w:val="single" w:color="CCCCCC" w:sz="4"/>
              <w:right w:val="single" w:color="CCCCCC" w:sz="4"/>
            </w:tcBorders>
            <w:shd w:fill="1B4F72" w:val="clear"/>
          </w:tcPr>
          <w:p>
            <w:r>
              <w:rPr>
                <w:rFonts w:ascii="Calibri" w:cs="Calibri" w:eastAsia="Calibri" w:hAnsi="Calibri"/>
                <w:b/>
                <w:bCs/>
                <w:color w:val="FFFFFF"/>
                <w:sz w:val="18"/>
                <w:szCs w:val="18"/>
              </w:rPr>
              <w:t xml:space="preserve">Needs from this project</w:t>
            </w:r>
          </w:p>
        </w:tc>
        <w:tc>
          <w:tcPr>
            <w:tcW w:type="dxa" w:w="3580"/>
            <w:tcBorders>
              <w:top w:val="single" w:color="CCCCCC" w:sz="4"/>
              <w:left w:val="single" w:color="CCCCCC" w:sz="4"/>
              <w:bottom w:val="single" w:color="CCCCCC" w:sz="4"/>
              <w:right w:val="single" w:color="CCCCCC" w:sz="4"/>
            </w:tcBorders>
            <w:shd w:fill="1B4F72" w:val="clear"/>
          </w:tcPr>
          <w:p>
            <w:r>
              <w:rPr>
                <w:rFonts w:ascii="Calibri" w:cs="Calibri" w:eastAsia="Calibri" w:hAnsi="Calibri"/>
                <w:b/>
                <w:bCs/>
                <w:color w:val="FFFFFF"/>
                <w:sz w:val="18"/>
                <w:szCs w:val="18"/>
              </w:rPr>
              <w:t xml:space="preserve">Recommended emphasis</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Expert (econometrician)</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Correctness of GD vs OLS, residual structure, caveats</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Solution notebook + residual diagnostics + simulation</w:t>
            </w:r>
          </w:p>
        </w:tc>
      </w:tr>
      <w:tr>
        <w:tc>
          <w:tcPr>
            <w:tcW w:type="dxa" w:w="22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Technician (analyst)</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code, hyper-parameter guidance, closed-form check</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Reusable template + cheat sheet</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Executive (marketing / finance)</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One actionable marginal-return number + confidence</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1-page summary (headline + single chart)</w:t>
            </w:r>
          </w:p>
        </w:tc>
      </w:tr>
      <w:tr>
        <w:tc>
          <w:tcPr>
            <w:tcW w:type="dxa" w:w="2200"/>
            <w:tcBorders>
              <w:top w:val="single" w:color="CCCCCC" w:sz="4"/>
              <w:left w:val="single" w:color="CCCCCC" w:sz="4"/>
              <w:bottom w:val="single" w:color="CCCCCC" w:sz="4"/>
              <w:right w:val="single" w:color="CCCCCC" w:sz="4"/>
            </w:tcBorders>
            <w:shd w:fill="F2F2F2" w:val="clear"/>
          </w:tcPr>
          <w:p>
            <w:r>
              <w:rPr>
                <w:rFonts w:ascii="Calibri" w:cs="Calibri" w:eastAsia="Calibri" w:hAnsi="Calibri"/>
                <w:b/>
                <w:bCs/>
                <w:color w:val="000000"/>
                <w:sz w:val="17"/>
                <w:szCs w:val="17"/>
              </w:rPr>
              <w:t xml:space="preserve">Policy (MPC)</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Estimated MPC and plain interpretation</w:t>
            </w:r>
          </w:p>
        </w:tc>
        <w:tc>
          <w:tcPr>
            <w:tcW w:type="dxa" w:w="3580"/>
            <w:tcBorders>
              <w:top w:val="single" w:color="CCCCCC" w:sz="4"/>
              <w:left w:val="single" w:color="CCCCCC" w:sz="4"/>
              <w:bottom w:val="single" w:color="CCCCCC" w:sz="4"/>
              <w:right w:val="single" w:color="CCCCCC" w:sz="4"/>
            </w:tcBorders>
            <w:shd w:fill="F2F2F2" w:val="clear"/>
          </w:tcPr>
          <w:p>
            <w:r>
              <w:rPr>
                <w:rFonts w:ascii="Calibri" w:cs="Calibri" w:eastAsia="Calibri" w:hAnsi="Calibri"/>
                <w:b w:val="false"/>
                <w:bCs w:val="false"/>
                <w:color w:val="000000"/>
                <w:sz w:val="17"/>
                <w:szCs w:val="17"/>
              </w:rPr>
              <w:t xml:space="preserve">Consumption practice section of solution + memo language</w:t>
            </w:r>
          </w:p>
        </w:tc>
      </w:tr>
      <w:tr>
        <w:tc>
          <w:tcPr>
            <w:tcW w:type="dxa" w:w="2200"/>
            <w:tcBorders>
              <w:top w:val="single" w:color="CCCCCC" w:sz="4"/>
              <w:left w:val="single" w:color="CCCCCC" w:sz="4"/>
              <w:bottom w:val="single" w:color="CCCCCC" w:sz="4"/>
              <w:right w:val="single" w:color="CCCCCC" w:sz="4"/>
            </w:tcBorders>
          </w:tcPr>
          <w:p>
            <w:r>
              <w:rPr>
                <w:rFonts w:ascii="Calibri" w:cs="Calibri" w:eastAsia="Calibri" w:hAnsi="Calibri"/>
                <w:b/>
                <w:bCs/>
                <w:color w:val="000000"/>
                <w:sz w:val="17"/>
                <w:szCs w:val="17"/>
              </w:rPr>
              <w:t xml:space="preserve">Non-specialist</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Intuitive story; no jargon</w:t>
            </w:r>
          </w:p>
        </w:tc>
        <w:tc>
          <w:tcPr>
            <w:tcW w:type="dxa" w:w="3580"/>
            <w:tcBorders>
              <w:top w:val="single" w:color="CCCCCC" w:sz="4"/>
              <w:left w:val="single" w:color="CCCCCC" w:sz="4"/>
              <w:bottom w:val="single" w:color="CCCCCC" w:sz="4"/>
              <w:right w:val="single" w:color="CCCCCC" w:sz="4"/>
            </w:tcBorders>
          </w:tcPr>
          <w:p>
            <w:r>
              <w:rPr>
                <w:rFonts w:ascii="Calibri" w:cs="Calibri" w:eastAsia="Calibri" w:hAnsi="Calibri"/>
                <w:b w:val="false"/>
                <w:bCs w:val="false"/>
                <w:color w:val="000000"/>
                <w:sz w:val="17"/>
                <w:szCs w:val="17"/>
              </w:rPr>
              <w:t xml:space="preserve">Scatter + line only; plain-language paragraph</w:t>
            </w:r>
          </w:p>
        </w:tc>
      </w:tr>
    </w:tbl>
    <w:p>
      <w:pPr>
        <w:pStyle w:val="Heading2"/>
      </w:pPr>
      <w:r>
        <w:t xml:space="preserve">4. Mixed Audiences &amp; Report Structure</w:t>
      </w:r>
    </w:p>
    <w:p>
      <w:pPr>
        <w:spacing w:after="50"/>
      </w:pPr>
      <w:r>
        <w:t xml:space="preserve">When one document must serve several audiences, follow the data-analysis report structure: short Introduction (headlines for executives), Body organised by question or method (for technical readers), Conclusion restating the key marginal effect, and an Appendix with full code and simulation details. Clear headings let each reader skim to the level of detail they need.</w:t>
      </w:r>
    </w:p>
    <w:p>
      <w:pPr>
        <w:pStyle w:val="Heading2"/>
      </w:pPr>
      <w:r>
        <w:t xml:space="preserve">5. Situation Notes</w:t>
      </w:r>
    </w:p>
    <w:p>
      <w:pPr>
        <w:spacing w:after="40"/>
      </w:pPr>
      <w:r>
        <w:t xml:space="preserve">Primary situation: educational / self-study for economics and business-analytics learners. Secondary: possible reuse as a short internal briefing for a marketing analytics or macro-policy team. Time pressure is moderate; the 1-page report is designed to be readable in under three minutes. No high-stakes pricing or fiscal decision depends on the precise slope, so residual uncertainty (R² ≈ 0.55) can be stated openly. Possible omitted-variable bias (prices, seasonality, competitor activity) should be flagged for any operational use.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666666"/>
        <w:sz w:val="16"/>
        <w:szCs w:val="16"/>
      </w:rPr>
      <w:t xml:space="preserve">Audience &amp; Situation Notes — Economics Linear Regression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0" w:before="120"/>
    </w:pPr>
    <w:rPr>
      <w:rFonts w:ascii="Calibri" w:cs="Calibri" w:eastAsia="Calibri" w:hAnsi="Calibri"/>
      <w:b/>
      <w:bCs/>
      <w:color w:val="1B4F72"/>
      <w:sz w:val="26"/>
      <w:szCs w:val="26"/>
    </w:rPr>
  </w:style>
  <w:style w:type="paragraph" w:styleId="Heading2">
    <w:name w:val="Heading 2"/>
    <w:basedOn w:val="Normal"/>
    <w:next w:val="Normal"/>
    <w:pPr>
      <w:spacing w:after="50" w:before="90"/>
    </w:pPr>
    <w:rPr>
      <w:rFonts w:ascii="Calibri" w:cs="Calibri" w:eastAsia="Calibri" w:hAnsi="Calibri"/>
      <w:b/>
      <w:bCs/>
      <w:color w:val="2874A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2026-08-25T19:49:33.130Z</dcterms:created>
  <dcterms:modified xsi:type="dcterms:W3CDTF">2026-08-25T19:49:33.130Z</dcterms:modified>
</cp:coreProperties>
</file>

<file path=docProps/custom.xml><?xml version="1.0" encoding="utf-8"?>
<Properties xmlns="http://schemas.openxmlformats.org/officeDocument/2006/custom-properties" xmlns:vt="http://schemas.openxmlformats.org/officeDocument/2006/docPropsVTypes"/>
</file>