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Memo: Audience &amp; Situation Analysis</w:t>
      </w:r>
    </w:p>
    <w:p>
      <w:pPr>
        <w:spacing w:after="80"/>
      </w:pPr>
      <w:r>
        <w:t xml:space="preserve">This memo applies the principles from “What to Consider When Considering the Audience” and “Audience and Situation Analysis” to the Introduction to Linear Regression extended project.</w:t>
      </w:r>
    </w:p>
    <w:p>
      <w:pPr>
        <w:pStyle w:val="Heading2"/>
      </w:pPr>
      <w:r>
        <w:t xml:space="preserve">1. Data Literacy</w:t>
      </w:r>
    </w:p>
    <w:p>
      <w:pPr>
        <w:spacing w:after="60"/>
      </w:pPr>
      <w:r>
        <w:t xml:space="preserve">Highly data-literate readers (engineers, data analysts, statisticians) can absorb scatter plots, residual plots, gradient formulas and R² without explanation. Less data-literate readers still understand a simple scatter with an overlaid line; they should not be asked to interpret box-plots, confidence intervals or the mathematics of gradient descent. For them, explain the model as “a straight line that comes as close as possible to all the points.”</w:t>
      </w:r>
    </w:p>
    <w:p>
      <w:pPr>
        <w:pStyle w:val="Heading2"/>
      </w:pPr>
      <w:r>
        <w:t xml:space="preserve">2. Subject Knowledge</w:t>
      </w:r>
    </w:p>
    <w:p>
      <w:pPr>
        <w:spacing w:after="60"/>
      </w:pPr>
      <w:r>
        <w:t xml:space="preserve">Sports scientists or coaches already know that taller athletes tend to be heavier; they will want the quantitative slope and an honest statement of how much variance remains unexplained. Finance or general-business executives may need a one-sentence translation (“each extra inch ≈ 3.4 lb”) and care little about the estimation method. Complete newcomers need a short definition of the variables before any numbers appear.</w:t>
      </w:r>
    </w:p>
    <w:p>
      <w:pPr>
        <w:pStyle w:val="Heading2"/>
      </w:pPr>
      <w:r>
        <w:t xml:space="preserve">3. Audience Types (Experts / Technicians / Executives / Non-specialists)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F4E79" w:val="clear"/>
          </w:tcPr>
          <w:p>
            <w:r>
              <w:rPr>
                <w:rFonts w:ascii="Calibri" w:cs="Calibri" w:eastAsia="Calibri" w:hAnsi="Calibri"/>
                <w:b/>
                <w:bCs/>
                <w:color w:val="FFFFFF"/>
                <w:sz w:val="17"/>
                <w:szCs w:val="17"/>
              </w:rPr>
              <w:t xml:space="preserve">Type</w:t>
            </w:r>
          </w:p>
        </w:tc>
        <w:tc>
          <w:tcPr>
            <w:tcW w:type="dxa" w:w="3580"/>
            <w:tcBorders>
              <w:top w:val="single" w:color="CCCCCC" w:sz="4"/>
              <w:left w:val="single" w:color="CCCCCC" w:sz="4"/>
              <w:bottom w:val="single" w:color="CCCCCC" w:sz="4"/>
              <w:right w:val="single" w:color="CCCCCC" w:sz="4"/>
            </w:tcBorders>
            <w:shd w:fill="1F4E79" w:val="clear"/>
          </w:tcPr>
          <w:p>
            <w:r>
              <w:rPr>
                <w:rFonts w:ascii="Calibri" w:cs="Calibri" w:eastAsia="Calibri" w:hAnsi="Calibri"/>
                <w:b/>
                <w:bCs/>
                <w:color w:val="FFFFFF"/>
                <w:sz w:val="17"/>
                <w:szCs w:val="17"/>
              </w:rPr>
              <w:t xml:space="preserve">Needs from this project</w:t>
            </w:r>
          </w:p>
        </w:tc>
        <w:tc>
          <w:tcPr>
            <w:tcW w:type="dxa" w:w="3580"/>
            <w:tcBorders>
              <w:top w:val="single" w:color="CCCCCC" w:sz="4"/>
              <w:left w:val="single" w:color="CCCCCC" w:sz="4"/>
              <w:bottom w:val="single" w:color="CCCCCC" w:sz="4"/>
              <w:right w:val="single" w:color="CCCCCC" w:sz="4"/>
            </w:tcBorders>
            <w:shd w:fill="1F4E79" w:val="clear"/>
          </w:tcPr>
          <w:p>
            <w:r>
              <w:rPr>
                <w:rFonts w:ascii="Calibri" w:cs="Calibri" w:eastAsia="Calibri" w:hAnsi="Calibri"/>
                <w:b/>
                <w:bCs/>
                <w:color w:val="FFFFFF"/>
                <w:sz w:val="17"/>
                <w:szCs w:val="17"/>
              </w:rPr>
              <w:t xml:space="preserve">Recommended deliverable emphasis</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Expert (stats / ML)</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Correctness of GD, comparison with OLS, residual structure</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Solution notebook + residual diagnostics + simulation</w:t>
            </w:r>
          </w:p>
        </w:tc>
      </w:tr>
      <w:tr>
        <w:tc>
          <w:tcPr>
            <w:tcW w:type="dxa" w:w="2200"/>
            <w:tcBorders>
              <w:top w:val="single" w:color="CCCCCC" w:sz="4"/>
              <w:left w:val="single" w:color="CCCCCC" w:sz="4"/>
              <w:bottom w:val="single" w:color="CCCCCC" w:sz="4"/>
              <w:right w:val="single" w:color="CCCCCC" w:sz="4"/>
            </w:tcBorders>
            <w:shd w:fill="F2F2F2" w:val="clear"/>
          </w:tcPr>
          <w:p>
            <w:r>
              <w:rPr>
                <w:rFonts w:ascii="Calibri" w:cs="Calibri" w:eastAsia="Calibri" w:hAnsi="Calibri"/>
                <w:b/>
                <w:bCs/>
                <w:color w:val="000000"/>
                <w:sz w:val="17"/>
                <w:szCs w:val="17"/>
              </w:rPr>
              <w:t xml:space="preserve">Technician (analyst)</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Reusable code, hyper-parameter guidance, closed-form check</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Reusable template + cheat sheet</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Executive</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One actionable number and confidence in the finding</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1-page summary (headline + single chart)</w:t>
            </w:r>
          </w:p>
        </w:tc>
      </w:tr>
      <w:tr>
        <w:tc>
          <w:tcPr>
            <w:tcW w:type="dxa" w:w="2200"/>
            <w:tcBorders>
              <w:top w:val="single" w:color="CCCCCC" w:sz="4"/>
              <w:left w:val="single" w:color="CCCCCC" w:sz="4"/>
              <w:bottom w:val="single" w:color="CCCCCC" w:sz="4"/>
              <w:right w:val="single" w:color="CCCCCC" w:sz="4"/>
            </w:tcBorders>
            <w:shd w:fill="F2F2F2" w:val="clear"/>
          </w:tcPr>
          <w:p>
            <w:r>
              <w:rPr>
                <w:rFonts w:ascii="Calibri" w:cs="Calibri" w:eastAsia="Calibri" w:hAnsi="Calibri"/>
                <w:b/>
                <w:bCs/>
                <w:color w:val="000000"/>
                <w:sz w:val="17"/>
                <w:szCs w:val="17"/>
              </w:rPr>
              <w:t xml:space="preserve">Non-specialist</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Intuitive story; no jargon</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Scatter + line only; plain-language paragraph</w:t>
            </w:r>
          </w:p>
        </w:tc>
      </w:tr>
    </w:tbl>
    <w:p>
      <w:pPr>
        <w:pStyle w:val="Heading2"/>
      </w:pPr>
      <w:r>
        <w:t xml:space="preserve">4. Mixed Audiences &amp; Report Structure</w:t>
      </w:r>
    </w:p>
    <w:p>
      <w:pPr>
        <w:spacing w:after="60"/>
      </w:pPr>
      <w:r>
        <w:t xml:space="preserve">When the same document must serve several audience types, follow the data-analysis report structure: short Introduction (headlines for executives), Body organised by question or by method (for technical readers), Conclusion restating the key number, and an Appendix with full code, intermediate tables and simulation details. Clear headings and cross-references let each reader skim to the level of detail they need.</w:t>
      </w:r>
    </w:p>
    <w:p>
      <w:pPr>
        <w:pStyle w:val="Heading2"/>
      </w:pPr>
      <w:r>
        <w:t xml:space="preserve">5. Situation Notes</w:t>
      </w:r>
    </w:p>
    <w:p>
      <w:pPr>
        <w:spacing w:after="40"/>
      </w:pPr>
      <w:r>
        <w:t xml:space="preserve">Primary situation: educational / self-study. Secondary situation: possible reuse as a short internal briefing for a sports-science or analytics team. Time pressure is moderate; the 1-page report is designed to be readable in under three minutes. No regulatory or high-stakes decision depends on the precise slope, so residual uncertainty (R² = 0.31) can be stated openly.</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Audience &amp; Situation Notes — Linear Regression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120"/>
    </w:pPr>
    <w:rPr>
      <w:rFonts w:ascii="Calibri" w:cs="Calibri" w:eastAsia="Calibri" w:hAnsi="Calibri"/>
      <w:b/>
      <w:bCs/>
      <w:color w:val="1F4E79"/>
      <w:sz w:val="26"/>
      <w:szCs w:val="26"/>
    </w:rPr>
  </w:style>
  <w:style w:type="paragraph" w:styleId="Heading2">
    <w:name w:val="Heading 2"/>
    <w:basedOn w:val="Normal"/>
    <w:next w:val="Normal"/>
    <w:pPr>
      <w:spacing w:after="60" w:before="100"/>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2026-08-25T19:39:31.146Z</dcterms:created>
  <dcterms:modified xsi:type="dcterms:W3CDTF">2026-08-25T19:39:31.147Z</dcterms:modified>
</cp:coreProperties>
</file>

<file path=docProps/custom.xml><?xml version="1.0" encoding="utf-8"?>
<Properties xmlns="http://schemas.openxmlformats.org/officeDocument/2006/custom-properties" xmlns:vt="http://schemas.openxmlformats.org/officeDocument/2006/docPropsVTypes"/>
</file>