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237E"/>
          <w:sz w:val="32"/>
          <w:szCs w:val="32"/>
        </w:rPr>
        <w:t xml:space="preserve">Currency Converter</w:t>
      </w:r>
    </w:p>
    <w:p>
      <w:pPr>
        <w:spacing w:after="120"/>
        <w:jc w:val="center"/>
      </w:pPr>
      <w:r>
        <w:rPr>
          <w:color w:val="555555"/>
          <w:sz w:val="18"/>
          <w:szCs w:val="18"/>
        </w:rPr>
        <w:t xml:space="preserve">1-Page Summary Report  •  Extended Python Project (Ch. 14)</w:t>
      </w:r>
    </w:p>
    <w:p>
      <w:pPr>
        <w:pStyle w:val="Heading1"/>
      </w:pPr>
      <w:r>
        <w:t xml:space="preserve">Problem Statement</w:t>
      </w:r>
    </w:p>
    <w:p>
      <w:pPr>
        <w:spacing w:after="80"/>
      </w:pPr>
      <w:r>
        <w:rPr>
          <w:sz w:val="19"/>
          <w:szCs w:val="19"/>
        </w:rPr>
        <w:t xml:space="preserve">Build a practical Python Currency Converter that converts an amount from a source currency into one or more target currencies. The base book project used a live API call (requests) and a single conversion. The extended version must work offline with a fixed rate table, support multi-currency conversion, keep a conversion history, provide an alternate dictionary-of-lambdas implementation, include extra practice drills, and offer a parameterised Monte-Carlo simulation of exchange-rate noise that produces histograms.</w:t>
      </w:r>
    </w:p>
    <w:p>
      <w:pPr>
        <w:pStyle w:val="Heading1"/>
      </w:pPr>
      <w:r>
        <w:t xml:space="preserve">Solution Strategy</w:t>
      </w:r>
    </w:p>
    <w:p>
      <w:pPr>
        <w:spacing w:after="40"/>
      </w:pPr>
      <w:r>
        <w:rPr>
          <w:b/>
          <w:bCs/>
          <w:sz w:val="19"/>
          <w:szCs w:val="19"/>
        </w:rPr>
        <w:t xml:space="preserve">• Offline-first rates: </w:t>
      </w:r>
      <w:r>
        <w:rPr>
          <w:sz w:val="19"/>
          <w:szCs w:val="19"/>
        </w:rPr>
        <w:t xml:space="preserve">dictionary of values relative to 1 USD; any pair is obtained by division through the common base.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• Optional API fallback: </w:t>
      </w:r>
      <w:r>
        <w:rPr>
          <w:sz w:val="19"/>
          <w:szCs w:val="19"/>
        </w:rPr>
        <w:t xml:space="preserve">try live rates; on any failure (or when internet is unavailable) silently fall back to the offline table.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• Multi-target + history: </w:t>
      </w:r>
      <w:r>
        <w:rPr>
          <w:sz w:val="19"/>
          <w:szCs w:val="19"/>
        </w:rPr>
        <w:t xml:space="preserve">convert_multi returns a dict; every conversion is recorded with a timestamp.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• Alternate dispatch: </w:t>
      </w:r>
      <w:r>
        <w:rPr>
          <w:sz w:val="19"/>
          <w:szCs w:val="19"/>
        </w:rPr>
        <w:t xml:space="preserve">make_converter builds a dict of lambdas keyed by strings such as "USD2EUR".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• Simulation: </w:t>
      </w:r>
      <w:r>
        <w:rPr>
          <w:sz w:val="19"/>
          <w:szCs w:val="19"/>
        </w:rPr>
        <w:t xml:space="preserve">run_currency_simulation draws noisy rates (relative σ) and plots four histograms so learners can instantly see the effect of rate volatility.</w:t>
      </w:r>
    </w:p>
    <w:p>
      <w:pPr>
        <w:pStyle w:val="Heading1"/>
      </w:pPr>
      <w:r>
        <w:t xml:space="preserve">Solution</w:t>
      </w:r>
    </w:p>
    <w:p>
      <w:pPr>
        <w:spacing w:after="60"/>
      </w:pPr>
      <w:r>
        <w:rPr>
          <w:sz w:val="19"/>
          <w:szCs w:val="19"/>
        </w:rPr>
        <w:t xml:space="preserve">Core functions: get_exchange_rates, convert, convert_multi, record_conversion, show_history, make_converter, run_currency_simulation. Sample offline results (rates fixed for reproducibility): 100 USD → 92.00 EUR; 50 EUR → 42.93 GBP; 250 EUR → 271.74 USD / 214.67 GBP / 40 625 JPY / 139 945.65 CRC. Cross-rate check USD→EUR→GBP equals USD→GBP exactly. Tourist budget of 1 000 USD expands to 920 EUR, 790 GBP, 149 500 JPY, 515 000 CRC, 1 360 CAD. Simulation (n=800, σ=3 %) centres tightly on the true values; raising σ to 8 % visibly widens every histogram.</w:t>
      </w:r>
    </w:p>
    <w:p>
      <w:pPr>
        <w:spacing w:after="20" w:before="40"/>
        <w:jc w:val="center"/>
      </w:pPr>
      <w:r>
        <w:rPr>
          <w:i/>
          <w:iCs/>
          <w:sz w:val="16"/>
          <w:szCs w:val="16"/>
        </w:rPr>
        <w:t xml:space="preserve">Figure 1 – Program flowchart</w:t>
      </w:r>
    </w:p>
    <w:p>
      <w:pPr>
        <w:spacing w:after="60"/>
        <w:jc w:val="center"/>
      </w:pPr>
      <w:r>
        <w:drawing>
          <wp:inline distT="0" distB="0" distL="0" distR="0">
            <wp:extent cx="1905000" cy="2857500"/>
            <wp:effectExtent t="0" r="0" b="0" l="0"/>
            <wp:docPr id="1" name="flowchart" descr="Currency converter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20"/>
        <w:jc w:val="center"/>
      </w:pPr>
      <w:r>
        <w:rPr>
          <w:i/>
          <w:iCs/>
          <w:sz w:val="16"/>
          <w:szCs w:val="16"/>
        </w:rPr>
        <w:t xml:space="preserve">Figure 2 – Simulation histograms (modify noise_pct / base_amount / seed for different shapes)</w:t>
      </w:r>
    </w:p>
    <w:p>
      <w:pPr>
        <w:spacing w:after="80"/>
        <w:jc w:val="center"/>
      </w:pPr>
      <w:r>
        <w:drawing>
          <wp:inline distT="0" distB="0" distL="0" distR="0">
            <wp:extent cx="3810000" cy="2905125"/>
            <wp:effectExtent t="0" r="0" b="0" l="0"/>
            <wp:docPr id="1" name="simulation" descr="Currency simulation histograms" title="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Key Takeaways</w:t>
      </w:r>
    </w:p>
    <w:p>
      <w:pPr>
        <w:spacing w:after="30"/>
      </w:pPr>
      <w:r>
        <w:rPr>
          <w:sz w:val="19"/>
          <w:szCs w:val="19"/>
        </w:rPr>
        <w:t xml:space="preserve">• Offline rate tables guarantee reproducibility and work without network access – ideal for teaching and offline notebooks.</w:t>
      </w:r>
    </w:p>
    <w:p>
      <w:pPr>
        <w:spacing w:after="30"/>
      </w:pPr>
      <w:r>
        <w:rPr>
          <w:sz w:val="19"/>
          <w:szCs w:val="19"/>
        </w:rPr>
        <w:t xml:space="preserve">• All pairwise conversions collapse to a single multiplication once rates share a common base (USD).</w:t>
      </w:r>
    </w:p>
    <w:p>
      <w:pPr>
        <w:spacing w:after="30"/>
      </w:pPr>
      <w:r>
        <w:rPr>
          <w:sz w:val="19"/>
          <w:szCs w:val="19"/>
        </w:rPr>
        <w:t xml:space="preserve">• Dictionary-of-lambdas scales automatically with the number of currencies and eliminates if-elif chains.</w:t>
      </w:r>
    </w:p>
    <w:p>
      <w:pPr>
        <w:spacing w:after="30"/>
      </w:pPr>
      <w:r>
        <w:rPr>
          <w:sz w:val="19"/>
          <w:szCs w:val="19"/>
        </w:rPr>
        <w:t xml:space="preserve">• A short history list turns the converter into a tiny audit log ready for later reporting or a GUI.</w:t>
      </w:r>
    </w:p>
    <w:p>
      <w:pPr>
        <w:spacing w:after="30"/>
      </w:pPr>
      <w:r>
        <w:rPr>
          <w:sz w:val="19"/>
          <w:szCs w:val="19"/>
        </w:rPr>
        <w:t xml:space="preserve">• Monte-Carlo noise around published rates makes exchange-rate risk concrete for any given budget.</w:t>
      </w:r>
    </w:p>
    <w:p>
      <w:pPr>
        <w:spacing w:after="20"/>
      </w:pPr>
      <w:r>
        <w:rPr>
          <w:sz w:val="19"/>
          <w:szCs w:val="19"/>
        </w:rPr>
        <w:t xml:space="preserve">• Deliverables: Practice Skeleton + Solution notebooks, flowchart, simulation chart, standalone .py module, and this summary.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1-Page Summary Report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Currency Converter • Extended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2835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10e93236fb5516a8a43d3aaa42a54f1eeb165a.png"/><Relationship Id="rId10" Type="http://schemas.openxmlformats.org/officeDocument/2006/relationships/image" Target="media/aa50faf755ed86d48f62549c5d5abc277fc4d3a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2026-07-30T21:02:15.756Z</dcterms:created>
  <dcterms:modified xsi:type="dcterms:W3CDTF">2026-07-30T21:02:15.756Z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