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Checklist: Building a Successful SQL Media / Movie Data Analysis</w:t>
      </w:r>
    </w:p>
    <w:p>
      <w:pPr>
        <w:spacing w:after="200"/>
      </w:pPr>
      <w:r>
        <w:rPr>
          <w:i/>
          <w:iCs/>
          <w:color w:val="555555"/>
          <w:sz w:val="20"/>
          <w:szCs w:val="20"/>
        </w:rPr>
        <w:t xml:space="preserve">Based on the MUBI-style Module 4 Assignment pattern (data validation + deeper SQL analysis with Pandas).</w:t>
      </w:r>
    </w:p>
    <w:p>
      <w:pPr>
        <w:pStyle w:val="Heading2"/>
      </w:pPr>
      <w:r>
        <w:t xml:space="preserve">Purpose of This Checklist</w:t>
      </w:r>
    </w:p>
    <w:p>
      <w:pPr>
        <w:spacing w:after="200"/>
      </w:pPr>
      <w:r>
        <w:t xml:space="preserve">Use this checklist whenever you need to create a similar end-to-end project that combines SQLite querying, data quality checks, analytical SQL patterns, and light visualization. Completing every item dramatically increases the chance that the notebook will be graded correctly (or production-ready) and that insights will be trustworthy.</w:t>
      </w:r>
    </w:p>
    <w:p>
      <w:pPr>
        <w:pStyle w:val="Heading2"/>
      </w:pPr>
      <w:r>
        <w:t xml:space="preserve">Phase 1 – Environment &amp; Data Setup (Must-Have)</w:t>
      </w:r>
    </w:p>
    <w:p>
      <w:pPr>
        <w:pStyle w:val="ListParagraph"/>
        <w:numPr>
          <w:ilvl w:val="0"/>
          <w:numId w:val="2"/>
        </w:numPr>
      </w:pPr>
      <w:r>
        <w:rPr>
          <w:b/>
          <w:bCs/>
        </w:rPr>
        <w:t xml:space="preserve">Python environment ready</w:t>
      </w:r>
      <w:r>
        <w:t xml:space="preserve"> with sqlite3, pandas, matplotlib (and optionally numpy / seaborn).</w:t>
      </w:r>
    </w:p>
    <w:p>
      <w:pPr>
        <w:pStyle w:val="ListParagraph"/>
        <w:numPr>
          <w:ilvl w:val="0"/>
          <w:numId w:val="2"/>
        </w:numPr>
      </w:pPr>
      <w:r>
        <w:rPr>
          <w:b/>
          <w:bCs/>
        </w:rPr>
        <w:t xml:space="preserve">SQLite database file available</w:t>
      </w:r>
      <w:r>
        <w:t xml:space="preserve"> and path correctly referenced in the notebook.</w:t>
      </w:r>
    </w:p>
    <w:p>
      <w:pPr>
        <w:pStyle w:val="ListParagraph"/>
        <w:numPr>
          <w:ilvl w:val="0"/>
          <w:numId w:val="2"/>
        </w:numPr>
      </w:pPr>
      <w:r>
        <w:rPr>
          <w:b/>
          <w:bCs/>
        </w:rPr>
        <w:t xml:space="preserve">Schema understood</w:t>
      </w:r>
      <w:r>
        <w:t xml:space="preserve"> – know primary keys, foreign keys, and the exact columns you will use (movie_id, rating, release year, etc.).</w:t>
      </w:r>
    </w:p>
    <w:p>
      <w:pPr>
        <w:pStyle w:val="ListParagraph"/>
        <w:numPr>
          <w:ilvl w:val="0"/>
          <w:numId w:val="2"/>
        </w:numPr>
      </w:pPr>
      <w:r>
        <w:rPr>
          <w:b/>
          <w:bCs/>
        </w:rPr>
        <w:t xml:space="preserve">Connection test cell</w:t>
      </w:r>
      <w:r>
        <w:t xml:space="preserve"> that successfully returns at least one row.</w:t>
      </w:r>
    </w:p>
    <w:p>
      <w:pPr>
        <w:pStyle w:val="ListParagraph"/>
        <w:numPr>
          <w:ilvl w:val="0"/>
          <w:numId w:val="2"/>
        </w:numPr>
      </w:pPr>
      <w:r>
        <w:rPr>
          <w:b/>
          <w:bCs/>
        </w:rPr>
        <w:t xml:space="preserve">Variable names match the expected names</w:t>
      </w:r>
      <w:r>
        <w:t xml:space="preserve"> (critical for autograders).</w:t>
      </w:r>
    </w:p>
    <w:p>
      <w:pPr>
        <w:pStyle w:val="Heading2"/>
      </w:pPr>
      <w:r>
        <w:t xml:space="preserve">Phase 2 – Data Validation (Must-Have)</w:t>
      </w:r>
    </w:p>
    <w:p>
      <w:pPr>
        <w:pStyle w:val="ListParagraph"/>
        <w:numPr>
          <w:ilvl w:val="0"/>
          <w:numId w:val="2"/>
        </w:numPr>
      </w:pPr>
      <w:r>
        <w:rPr>
          <w:b/>
          <w:bCs/>
        </w:rPr>
        <w:t xml:space="preserve">Unique entity count</w:t>
      </w:r>
      <w:r>
        <w:t xml:space="preserve"> – COUNT(DISTINCT id) vs COUNT(*) to confirm no duplicate primary keys.</w:t>
      </w:r>
    </w:p>
    <w:p>
      <w:pPr>
        <w:pStyle w:val="ListParagraph"/>
        <w:numPr>
          <w:ilvl w:val="0"/>
          <w:numId w:val="2"/>
        </w:numPr>
      </w:pPr>
      <w:r>
        <w:rPr>
          <w:b/>
          <w:bCs/>
        </w:rPr>
        <w:t xml:space="preserve">Missing-value scan</w:t>
      </w:r>
      <w:r>
        <w:t xml:space="preserve"> – Identify rows where critical columns (year, rating, title) are NULL.</w:t>
      </w:r>
    </w:p>
    <w:p>
      <w:pPr>
        <w:pStyle w:val="ListParagraph"/>
        <w:numPr>
          <w:ilvl w:val="0"/>
          <w:numId w:val="2"/>
        </w:numPr>
      </w:pPr>
      <w:r>
        <w:rPr>
          <w:b/>
          <w:bCs/>
        </w:rPr>
        <w:t xml:space="preserve">Document findings</w:t>
      </w:r>
      <w:r>
        <w:t xml:space="preserve"> – Write a short Markdown note explaining whether duplicates or missing values are material.</w:t>
      </w:r>
    </w:p>
    <w:p>
      <w:pPr>
        <w:pStyle w:val="ListParagraph"/>
        <w:numPr>
          <w:ilvl w:val="0"/>
          <w:numId w:val="3"/>
        </w:numPr>
      </w:pPr>
      <w:r>
        <w:t xml:space="preserve">Optional: basic descriptive statistics (MIN/MAX/AVG of numeric columns).</w:t>
      </w:r>
    </w:p>
    <w:p>
      <w:pPr>
        <w:pStyle w:val="Heading2"/>
      </w:pPr>
      <w:r>
        <w:t xml:space="preserve">Phase 3 – Core Analytical Queries (Must-Have)</w:t>
      </w:r>
    </w:p>
    <w:p>
      <w:pPr>
        <w:pStyle w:val="ListParagraph"/>
        <w:numPr>
          <w:ilvl w:val="0"/>
          <w:numId w:val="2"/>
        </w:numPr>
      </w:pPr>
      <w:r>
        <w:rPr>
          <w:b/>
          <w:bCs/>
        </w:rPr>
        <w:t xml:space="preserve">CASE-based binning</w:t>
      </w:r>
      <w:r>
        <w:t xml:space="preserve"> – Segment a continuous metric (rating) into High / Medium / Low categories and count members of each bin.</w:t>
      </w:r>
    </w:p>
    <w:p>
      <w:pPr>
        <w:pStyle w:val="ListParagraph"/>
        <w:numPr>
          <w:ilvl w:val="0"/>
          <w:numId w:val="2"/>
        </w:numPr>
      </w:pPr>
      <w:r>
        <w:rPr>
          <w:b/>
          <w:bCs/>
        </w:rPr>
        <w:t xml:space="preserve">Multi-condition filtering</w:t>
      </w:r>
      <w:r>
        <w:t xml:space="preserve"> – Combine year range + score range (BETWEEN) + ORDER BY for ranked lists of recent high-quality items.</w:t>
      </w:r>
    </w:p>
    <w:p>
      <w:pPr>
        <w:pStyle w:val="ListParagraph"/>
        <w:numPr>
          <w:ilvl w:val="0"/>
          <w:numId w:val="2"/>
        </w:numPr>
      </w:pPr>
      <w:r>
        <w:rPr>
          <w:b/>
          <w:bCs/>
        </w:rPr>
        <w:t xml:space="preserve">Pattern matching with LIKE</w:t>
      </w:r>
      <w:r>
        <w:t xml:space="preserve"> – Locate special editions or variants (e.g., “director’s cut”) using wildcards.</w:t>
      </w:r>
    </w:p>
    <w:p>
      <w:pPr>
        <w:pStyle w:val="ListParagraph"/>
        <w:numPr>
          <w:ilvl w:val="0"/>
          <w:numId w:val="2"/>
        </w:numPr>
      </w:pPr>
      <w:r>
        <w:rPr>
          <w:b/>
          <w:bCs/>
        </w:rPr>
        <w:t xml:space="preserve">Time-series aggregates</w:t>
      </w:r>
      <w:r>
        <w:t xml:space="preserve"> – AVG() and MAX() grouped by year (or other period) with LIMIT for the most recent windows.</w:t>
      </w:r>
    </w:p>
    <w:p>
      <w:pPr>
        <w:pStyle w:val="ListParagraph"/>
        <w:numPr>
          <w:ilvl w:val="0"/>
          <w:numId w:val="2"/>
        </w:numPr>
      </w:pPr>
      <w:r>
        <w:rPr>
          <w:b/>
          <w:bCs/>
        </w:rPr>
        <w:t xml:space="preserve">INNER JOIN for engagement</w:t>
      </w:r>
      <w:r>
        <w:t xml:space="preserve"> – Bring together entity table and review/critique table; rank by likes or comments.</w:t>
      </w:r>
    </w:p>
    <w:p>
      <w:pPr>
        <w:pStyle w:val="ListParagraph"/>
        <w:numPr>
          <w:ilvl w:val="0"/>
          <w:numId w:val="2"/>
        </w:numPr>
      </w:pPr>
      <w:r>
        <w:rPr>
          <w:b/>
          <w:bCs/>
        </w:rPr>
        <w:t xml:space="preserve">LEFT JOIN for gap analysis</w:t>
      </w:r>
      <w:r>
        <w:t xml:space="preserve"> – Count entities that have zero associated reviews/ratings.</w:t>
      </w:r>
    </w:p>
    <w:p>
      <w:pPr>
        <w:pStyle w:val="Heading2"/>
      </w:pPr>
      <w:r>
        <w:t xml:space="preserve">Phase 4 – Visualization &amp; Interpretation</w:t>
      </w:r>
    </w:p>
    <w:p>
      <w:pPr>
        <w:pStyle w:val="ListParagraph"/>
        <w:numPr>
          <w:ilvl w:val="0"/>
          <w:numId w:val="3"/>
        </w:numPr>
      </w:pPr>
      <w:r>
        <w:t xml:space="preserve">At least one clear plot (line, bar, or stacked bar) that supports a key finding.</w:t>
      </w:r>
    </w:p>
    <w:p>
      <w:pPr>
        <w:pStyle w:val="ListParagraph"/>
        <w:numPr>
          <w:ilvl w:val="0"/>
          <w:numId w:val="3"/>
        </w:numPr>
      </w:pPr>
      <w:r>
        <w:t xml:space="preserve">Axis labels, title, and legend are present and readable.</w:t>
      </w:r>
    </w:p>
    <w:p>
      <w:pPr>
        <w:pStyle w:val="ListParagraph"/>
        <w:numPr>
          <w:ilvl w:val="0"/>
          <w:numId w:val="2"/>
        </w:numPr>
      </w:pPr>
      <w:r>
        <w:rPr>
          <w:b/>
          <w:bCs/>
        </w:rPr>
        <w:t xml:space="preserve">Written insight for every major query</w:t>
      </w:r>
      <w:r>
        <w:t xml:space="preserve"> – What does the result mean for the business or research question?</w:t>
      </w:r>
    </w:p>
    <w:p>
      <w:pPr>
        <w:pStyle w:val="ListParagraph"/>
        <w:numPr>
          <w:ilvl w:val="0"/>
          <w:numId w:val="3"/>
        </w:numPr>
      </w:pPr>
      <w:r>
        <w:t xml:space="preserve">Optional: export key DataFrames to CSV for further use.</w:t>
      </w:r>
    </w:p>
    <w:p>
      <w:pPr>
        <w:pStyle w:val="Heading2"/>
      </w:pPr>
      <w:r>
        <w:t xml:space="preserve">Phase 5 – Clean-up &amp; Submission Readiness (Must-Have)</w:t>
      </w:r>
    </w:p>
    <w:p>
      <w:pPr>
        <w:pStyle w:val="ListParagraph"/>
        <w:numPr>
          <w:ilvl w:val="0"/>
          <w:numId w:val="2"/>
        </w:numPr>
      </w:pPr>
      <w:r>
        <w:rPr>
          <w:b/>
          <w:bCs/>
        </w:rPr>
        <w:t xml:space="preserve">connection.close()</w:t>
      </w:r>
      <w:r>
        <w:t xml:space="preserve"> is executed at the end of the notebook.</w:t>
      </w:r>
    </w:p>
    <w:p>
      <w:pPr>
        <w:pStyle w:val="ListParagraph"/>
        <w:numPr>
          <w:ilvl w:val="0"/>
          <w:numId w:val="2"/>
        </w:numPr>
      </w:pPr>
      <w:r>
        <w:rPr>
          <w:b/>
          <w:bCs/>
        </w:rPr>
        <w:t xml:space="preserve">All graded cells use the exact variable names</w:t>
      </w:r>
      <w:r>
        <w:t xml:space="preserve"> required by the autograder or project brief.</w:t>
      </w:r>
    </w:p>
    <w:p>
      <w:pPr>
        <w:pStyle w:val="ListParagraph"/>
        <w:numPr>
          <w:ilvl w:val="0"/>
          <w:numId w:val="2"/>
        </w:numPr>
      </w:pPr>
      <w:r>
        <w:rPr>
          <w:b/>
          <w:bCs/>
        </w:rPr>
        <w:t xml:space="preserve">No residual “None” placeholders</w:t>
      </w:r>
      <w:r>
        <w:t xml:space="preserve"> remain in the code.</w:t>
      </w:r>
    </w:p>
    <w:p>
      <w:pPr>
        <w:pStyle w:val="ListParagraph"/>
        <w:numPr>
          <w:ilvl w:val="0"/>
          <w:numId w:val="2"/>
        </w:numPr>
      </w:pPr>
      <w:r>
        <w:rPr>
          <w:b/>
          <w:bCs/>
        </w:rPr>
        <w:t xml:space="preserve">Notebook runs top-to-bottom without errors</w:t>
      </w:r>
      <w:r>
        <w:t xml:space="preserve"> on a clean kernel.</w:t>
      </w:r>
    </w:p>
    <w:p>
      <w:pPr>
        <w:pStyle w:val="ListParagraph"/>
        <w:numPr>
          <w:ilvl w:val="0"/>
          <w:numId w:val="3"/>
        </w:numPr>
      </w:pPr>
      <w:r>
        <w:t xml:space="preserve">Markdown cells explain the purpose of each exercise.</w:t>
      </w:r>
    </w:p>
    <w:p>
      <w:pPr>
        <w:pStyle w:val="ListParagraph"/>
        <w:numPr>
          <w:ilvl w:val="0"/>
          <w:numId w:val="3"/>
        </w:numPr>
      </w:pPr>
      <w:r>
        <w:t xml:space="preserve">Final summary cell or memo captures the top 3–5 insights.</w:t>
      </w:r>
    </w:p>
    <w:p>
      <w:pPr>
        <w:pStyle w:val="Heading2"/>
      </w:pPr>
      <w:r>
        <w:t xml:space="preserve">Success Criteria – Project is Ready When…</w:t>
      </w:r>
    </w:p>
    <w:p>
      <w:pPr>
        <w:pStyle w:val="ListParagraph"/>
        <w:numPr>
          <w:ilvl w:val="0"/>
          <w:numId w:val="4"/>
        </w:numPr>
      </w:pPr>
      <w:r>
        <w:t xml:space="preserve">Data quality is quantified (duplicates = 0 or explained; missingness is low and documented).</w:t>
      </w:r>
    </w:p>
    <w:p>
      <w:pPr>
        <w:pStyle w:val="ListParagraph"/>
        <w:numPr>
          <w:ilvl w:val="0"/>
          <w:numId w:val="4"/>
        </w:numPr>
      </w:pPr>
      <w:r>
        <w:t xml:space="preserve">At least six distinct SQL patterns have been applied correctly (DISTINCT, CASE, BETWEEN, LIKE, GROUP BY + aggregate, INNER JOIN, LEFT JOIN).</w:t>
      </w:r>
    </w:p>
    <w:p>
      <w:pPr>
        <w:pStyle w:val="ListParagraph"/>
        <w:numPr>
          <w:ilvl w:val="0"/>
          <w:numId w:val="4"/>
        </w:numPr>
      </w:pPr>
      <w:r>
        <w:t xml:space="preserve">Results are stored in clearly named DataFrames that can be inspected or exported.</w:t>
      </w:r>
    </w:p>
    <w:p>
      <w:pPr>
        <w:pStyle w:val="ListParagraph"/>
        <w:numPr>
          <w:ilvl w:val="0"/>
          <w:numId w:val="4"/>
        </w:numPr>
      </w:pPr>
      <w:r>
        <w:t xml:space="preserve">A short narrative (memo or final Markdown) answers the original business questions.</w:t>
      </w:r>
    </w:p>
    <w:p>
      <w:pPr>
        <w:pStyle w:val="ListParagraph"/>
        <w:numPr>
          <w:ilvl w:val="0"/>
          <w:numId w:val="4"/>
        </w:numPr>
      </w:pPr>
      <w:r>
        <w:t xml:space="preserve">The notebook is self-contained, reproducible, and closes the database connection.</w:t>
      </w:r>
    </w:p>
    <w:p>
      <w:pPr>
        <w:pStyle w:val="Heading2"/>
      </w:pPr>
      <w:r>
        <w:t xml:space="preserve">Quick Reference – SQL Patterns Used in This Project Style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4E79" w:val="clear"/>
          </w:tcPr>
          <w:p>
            <w:r>
              <w:rPr>
                <w:b/>
                <w:bCs/>
                <w:color w:val="FFFFFF"/>
              </w:rPr>
              <w:t xml:space="preserve">Pattern</w:t>
            </w:r>
          </w:p>
        </w:tc>
        <w:tc>
          <w:tcPr>
            <w:tcW w:type="dxa" w:w="7280"/>
            <w:tcBorders>
              <w:top w:val="single" w:color="CCCCCC" w:sz="1"/>
              <w:left w:val="single" w:color="CCCCCC" w:sz="1"/>
              <w:bottom w:val="single" w:color="CCCCCC" w:sz="1"/>
              <w:right w:val="single" w:color="CCCCCC" w:sz="1"/>
            </w:tcBorders>
            <w:shd w:fill="1F4E79" w:val="clear"/>
          </w:tcPr>
          <w:p>
            <w:r>
              <w:rPr>
                <w:b/>
                <w:bCs/>
                <w:color w:val="FFFFFF"/>
              </w:rPr>
              <w:t xml:space="preserve">Typical Use</w:t>
            </w:r>
          </w:p>
        </w:tc>
      </w:tr>
      <w:tr>
        <w:tc>
          <w:tcPr>
            <w:tcW w:type="dxa" w:w="2800"/>
            <w:tcBorders>
              <w:top w:val="single" w:color="CCCCCC" w:sz="1"/>
              <w:left w:val="single" w:color="CCCCCC" w:sz="1"/>
              <w:bottom w:val="single" w:color="CCCCCC" w:sz="1"/>
              <w:right w:val="single" w:color="CCCCCC" w:sz="1"/>
            </w:tcBorders>
          </w:tcPr>
          <w:p>
            <w:r>
              <w:t xml:space="preserve">COUNT(DISTINCT)</w:t>
            </w:r>
          </w:p>
        </w:tc>
        <w:tc>
          <w:tcPr>
            <w:tcW w:type="dxa" w:w="7280"/>
            <w:tcBorders>
              <w:top w:val="single" w:color="CCCCCC" w:sz="1"/>
              <w:left w:val="single" w:color="CCCCCC" w:sz="1"/>
              <w:bottom w:val="single" w:color="CCCCCC" w:sz="1"/>
              <w:right w:val="single" w:color="CCCCCC" w:sz="1"/>
            </w:tcBorders>
          </w:tcPr>
          <w:p>
            <w:r>
              <w:t xml:space="preserve">Uniqueness / duplicate detection</w:t>
            </w:r>
          </w:p>
        </w:tc>
      </w:tr>
      <w:tr>
        <w:tc>
          <w:tcPr>
            <w:tcW w:type="dxa" w:w="2800"/>
            <w:tcBorders>
              <w:top w:val="single" w:color="CCCCCC" w:sz="1"/>
              <w:left w:val="single" w:color="CCCCCC" w:sz="1"/>
              <w:bottom w:val="single" w:color="CCCCCC" w:sz="1"/>
              <w:right w:val="single" w:color="CCCCCC" w:sz="1"/>
            </w:tcBorders>
            <w:shd w:fill="F2F2F2" w:val="clear"/>
          </w:tcPr>
          <w:p>
            <w:r>
              <w:t xml:space="preserve">IS NULL / IS NOT NULL</w:t>
            </w:r>
          </w:p>
        </w:tc>
        <w:tc>
          <w:tcPr>
            <w:tcW w:type="dxa" w:w="7280"/>
            <w:tcBorders>
              <w:top w:val="single" w:color="CCCCCC" w:sz="1"/>
              <w:left w:val="single" w:color="CCCCCC" w:sz="1"/>
              <w:bottom w:val="single" w:color="CCCCCC" w:sz="1"/>
              <w:right w:val="single" w:color="CCCCCC" w:sz="1"/>
            </w:tcBorders>
            <w:shd w:fill="F2F2F2" w:val="clear"/>
          </w:tcPr>
          <w:p>
            <w:r>
              <w:t xml:space="preserve">Missing-value discovery</w:t>
            </w:r>
          </w:p>
        </w:tc>
      </w:tr>
      <w:tr>
        <w:tc>
          <w:tcPr>
            <w:tcW w:type="dxa" w:w="2800"/>
            <w:tcBorders>
              <w:top w:val="single" w:color="CCCCCC" w:sz="1"/>
              <w:left w:val="single" w:color="CCCCCC" w:sz="1"/>
              <w:bottom w:val="single" w:color="CCCCCC" w:sz="1"/>
              <w:right w:val="single" w:color="CCCCCC" w:sz="1"/>
            </w:tcBorders>
          </w:tcPr>
          <w:p>
            <w:r>
              <w:t xml:space="preserve">CASE … WHEN … END</w:t>
            </w:r>
          </w:p>
        </w:tc>
        <w:tc>
          <w:tcPr>
            <w:tcW w:type="dxa" w:w="7280"/>
            <w:tcBorders>
              <w:top w:val="single" w:color="CCCCCC" w:sz="1"/>
              <w:left w:val="single" w:color="CCCCCC" w:sz="1"/>
              <w:bottom w:val="single" w:color="CCCCCC" w:sz="1"/>
              <w:right w:val="single" w:color="CCCCCC" w:sz="1"/>
            </w:tcBorders>
          </w:tcPr>
          <w:p>
            <w:r>
              <w:t xml:space="preserve">Binning continuous variables into categories</w:t>
            </w:r>
          </w:p>
        </w:tc>
      </w:tr>
      <w:tr>
        <w:tc>
          <w:tcPr>
            <w:tcW w:type="dxa" w:w="2800"/>
            <w:tcBorders>
              <w:top w:val="single" w:color="CCCCCC" w:sz="1"/>
              <w:left w:val="single" w:color="CCCCCC" w:sz="1"/>
              <w:bottom w:val="single" w:color="CCCCCC" w:sz="1"/>
              <w:right w:val="single" w:color="CCCCCC" w:sz="1"/>
            </w:tcBorders>
            <w:shd w:fill="F2F2F2" w:val="clear"/>
          </w:tcPr>
          <w:p>
            <w:r>
              <w:t xml:space="preserve">BETWEEN … AND</w:t>
            </w:r>
          </w:p>
        </w:tc>
        <w:tc>
          <w:tcPr>
            <w:tcW w:type="dxa" w:w="7280"/>
            <w:tcBorders>
              <w:top w:val="single" w:color="CCCCCC" w:sz="1"/>
              <w:left w:val="single" w:color="CCCCCC" w:sz="1"/>
              <w:bottom w:val="single" w:color="CCCCCC" w:sz="1"/>
              <w:right w:val="single" w:color="CCCCCC" w:sz="1"/>
            </w:tcBorders>
            <w:shd w:fill="F2F2F2" w:val="clear"/>
          </w:tcPr>
          <w:p>
            <w:r>
              <w:t xml:space="preserve">Inclusive range filters (ratings, years)</w:t>
            </w:r>
          </w:p>
        </w:tc>
      </w:tr>
      <w:tr>
        <w:tc>
          <w:tcPr>
            <w:tcW w:type="dxa" w:w="2800"/>
            <w:tcBorders>
              <w:top w:val="single" w:color="CCCCCC" w:sz="1"/>
              <w:left w:val="single" w:color="CCCCCC" w:sz="1"/>
              <w:bottom w:val="single" w:color="CCCCCC" w:sz="1"/>
              <w:right w:val="single" w:color="CCCCCC" w:sz="1"/>
            </w:tcBorders>
          </w:tcPr>
          <w:p>
            <w:r>
              <w:t xml:space="preserve">LIKE ‘%…%’</w:t>
            </w:r>
          </w:p>
        </w:tc>
        <w:tc>
          <w:tcPr>
            <w:tcW w:type="dxa" w:w="7280"/>
            <w:tcBorders>
              <w:top w:val="single" w:color="CCCCCC" w:sz="1"/>
              <w:left w:val="single" w:color="CCCCCC" w:sz="1"/>
              <w:bottom w:val="single" w:color="CCCCCC" w:sz="1"/>
              <w:right w:val="single" w:color="CCCCCC" w:sz="1"/>
            </w:tcBorders>
          </w:tcPr>
          <w:p>
            <w:r>
              <w:t xml:space="preserve">Flexible string pattern matching</w:t>
            </w:r>
          </w:p>
        </w:tc>
      </w:tr>
      <w:tr>
        <w:tc>
          <w:tcPr>
            <w:tcW w:type="dxa" w:w="2800"/>
            <w:tcBorders>
              <w:top w:val="single" w:color="CCCCCC" w:sz="1"/>
              <w:left w:val="single" w:color="CCCCCC" w:sz="1"/>
              <w:bottom w:val="single" w:color="CCCCCC" w:sz="1"/>
              <w:right w:val="single" w:color="CCCCCC" w:sz="1"/>
            </w:tcBorders>
            <w:shd w:fill="F2F2F2" w:val="clear"/>
          </w:tcPr>
          <w:p>
            <w:r>
              <w:t xml:space="preserve">GROUP BY + AVG / MAX</w:t>
            </w:r>
          </w:p>
        </w:tc>
        <w:tc>
          <w:tcPr>
            <w:tcW w:type="dxa" w:w="7280"/>
            <w:tcBorders>
              <w:top w:val="single" w:color="CCCCCC" w:sz="1"/>
              <w:left w:val="single" w:color="CCCCCC" w:sz="1"/>
              <w:bottom w:val="single" w:color="CCCCCC" w:sz="1"/>
              <w:right w:val="single" w:color="CCCCCC" w:sz="1"/>
            </w:tcBorders>
            <w:shd w:fill="F2F2F2" w:val="clear"/>
          </w:tcPr>
          <w:p>
            <w:r>
              <w:t xml:space="preserve">Time-based or category-based aggregates</w:t>
            </w:r>
          </w:p>
        </w:tc>
      </w:tr>
      <w:tr>
        <w:tc>
          <w:tcPr>
            <w:tcW w:type="dxa" w:w="2800"/>
            <w:tcBorders>
              <w:top w:val="single" w:color="CCCCCC" w:sz="1"/>
              <w:left w:val="single" w:color="CCCCCC" w:sz="1"/>
              <w:bottom w:val="single" w:color="CCCCCC" w:sz="1"/>
              <w:right w:val="single" w:color="CCCCCC" w:sz="1"/>
            </w:tcBorders>
          </w:tcPr>
          <w:p>
            <w:r>
              <w:t xml:space="preserve">INNER JOIN</w:t>
            </w:r>
          </w:p>
        </w:tc>
        <w:tc>
          <w:tcPr>
            <w:tcW w:type="dxa" w:w="7280"/>
            <w:tcBorders>
              <w:top w:val="single" w:color="CCCCCC" w:sz="1"/>
              <w:left w:val="single" w:color="CCCCCC" w:sz="1"/>
              <w:bottom w:val="single" w:color="CCCCCC" w:sz="1"/>
              <w:right w:val="single" w:color="CCCCCC" w:sz="1"/>
            </w:tcBorders>
          </w:tcPr>
          <w:p>
            <w:r>
              <w:t xml:space="preserve">Combine entity + review tables for top engagement</w:t>
            </w:r>
          </w:p>
        </w:tc>
      </w:tr>
      <w:tr>
        <w:tc>
          <w:tcPr>
            <w:tcW w:type="dxa" w:w="2800"/>
            <w:tcBorders>
              <w:top w:val="single" w:color="CCCCCC" w:sz="1"/>
              <w:left w:val="single" w:color="CCCCCC" w:sz="1"/>
              <w:bottom w:val="single" w:color="CCCCCC" w:sz="1"/>
              <w:right w:val="single" w:color="CCCCCC" w:sz="1"/>
            </w:tcBorders>
            <w:shd w:fill="F2F2F2" w:val="clear"/>
          </w:tcPr>
          <w:p>
            <w:r>
              <w:t xml:space="preserve">LEFT JOIN + IS NULL</w:t>
            </w:r>
          </w:p>
        </w:tc>
        <w:tc>
          <w:tcPr>
            <w:tcW w:type="dxa" w:w="7280"/>
            <w:tcBorders>
              <w:top w:val="single" w:color="CCCCCC" w:sz="1"/>
              <w:left w:val="single" w:color="CCCCCC" w:sz="1"/>
              <w:bottom w:val="single" w:color="CCCCCC" w:sz="1"/>
              <w:right w:val="single" w:color="CCCCCC" w:sz="1"/>
            </w:tcBorders>
            <w:shd w:fill="F2F2F2" w:val="clear"/>
          </w:tcPr>
          <w:p>
            <w:r>
              <w:t xml:space="preserve">Detect content with zero reviews</w:t>
            </w:r>
          </w:p>
        </w:tc>
      </w:tr>
    </w:tbl>
    <w:p>
      <w:pPr>
        <w:spacing w:before="300"/>
      </w:pPr>
      <w:r>
        <w:rPr>
          <w:i/>
          <w:iCs/>
          <w:sz w:val="20"/>
          <w:szCs w:val="20"/>
        </w:rPr>
        <w:t xml:space="preserve">Tip: Keep this checklist open while building the notebook. Tick items as you complete them. A fully ticked checklist is the strongest predictor of a successful, low-error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i/>
        <w:iCs/>
        <w:color w:val="666666"/>
        <w:sz w:val="18"/>
        <w:szCs w:val="18"/>
      </w:rPr>
      <w:t xml:space="preserve">SQL Media Data Analysis Project</w:t>
    </w:r>
    <w:r>
      <w:rPr>
        <w:color w:val="666666"/>
        <w:sz w:val="18"/>
        <w:szCs w:val="18"/>
      </w:rPr>
      <w:t xml:space="preserve">  |  Checklist for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2026-08-18T05:19:11.015Z</dcterms:created>
  <dcterms:modified xsi:type="dcterms:W3CDTF">2026-08-18T05:19:11.015Z</dcterms:modified>
</cp:coreProperties>
</file>

<file path=docProps/custom.xml><?xml version="1.0" encoding="utf-8"?>
<Properties xmlns="http://schemas.openxmlformats.org/officeDocument/2006/custom-properties" xmlns:vt="http://schemas.openxmlformats.org/officeDocument/2006/docPropsVTypes"/>
</file>