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sz w:val="24"/>
          <w:szCs w:val="24"/>
        </w:rPr>
        <w:t xml:space="preserve">Food Production Linear Regression — Cheat Sheet</w:t>
      </w:r>
    </w:p>
    <w:p>
      <w:pPr>
        <w:spacing w:after="50"/>
      </w:pPr>
      <w:r>
        <w:rPr>
          <w:b/>
          <w:bCs/>
          <w:color w:val="1B4332"/>
          <w:sz w:val="18"/>
          <w:szCs w:val="18"/>
        </w:rPr>
        <w:t xml:space="preserve">Core Pipeline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Load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df = pd.read_csv("data/foodproduction.csv")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Yearly mean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prod = df.groupby("year")["totalprod"].mean().reset_index()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 / y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 = prod["year"].values.reshape(-1,1);  y = prod["totalprod"].values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Fit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regr = LinearRegression(); regr.fit(X, 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Slope / R²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regr.coef_[0], regr.intercept_, regr.score(X,y)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Future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X_fut = np.arange(2013,2051).reshape(-1,1);  regr.predict(X_fut)</w:t>
            </w:r>
          </w:p>
        </w:tc>
      </w:tr>
    </w:tbl>
    <w:p>
      <w:pPr>
        <w:spacing w:after="50" w:before="140"/>
      </w:pPr>
      <w:r>
        <w:rPr>
          <w:b/>
          <w:bCs/>
          <w:color w:val="1B4332"/>
          <w:sz w:val="18"/>
          <w:szCs w:val="18"/>
        </w:rPr>
        <w:t xml:space="preserve">Alternates</w:t>
      </w:r>
    </w:p>
    <w:p>
      <w:pPr>
        <w:spacing w:after="30"/>
      </w:pPr>
      <w:r>
        <w:rPr>
          <w:sz w:val="15"/>
          <w:szCs w:val="15"/>
        </w:rPr>
        <w:t xml:space="preserve">np.polyfit(years, y, 1)  |  closed-form m = Σ((x-x̄)(y-ȳ))/Σ((x-x̄)²)  |  pure-Python loops</w:t>
      </w:r>
    </w:p>
    <w:p>
      <w:pPr>
        <w:spacing w:after="50" w:before="120"/>
      </w:pPr>
      <w:r>
        <w:rPr>
          <w:b/>
          <w:bCs/>
          <w:color w:val="1B4332"/>
          <w:sz w:val="18"/>
          <w:szCs w:val="18"/>
        </w:rPr>
        <w:t xml:space="preserve">Key numbers (this dataset)</w:t>
      </w:r>
    </w:p>
    <w:p>
      <w:pPr>
        <w:spacing w:after="30"/>
      </w:pPr>
      <w:r>
        <w:rPr>
          <w:sz w:val="16"/>
          <w:szCs w:val="16"/>
        </w:rPr>
        <w:t xml:space="preserve">Slope ≈ −24 300 /yr   |   R² ≈ 0.96   |   Zero-crossing ≈ 2029</w:t>
      </w:r>
    </w:p>
    <w:p>
      <w:pPr>
        <w:spacing w:after="50" w:before="120"/>
      </w:pPr>
      <w:r>
        <w:rPr>
          <w:b/>
          <w:bCs/>
          <w:color w:val="1B4332"/>
          <w:sz w:val="18"/>
          <w:szCs w:val="18"/>
        </w:rPr>
        <w:t xml:space="preserve">Simulation knobs</w:t>
      </w:r>
    </w:p>
    <w:p>
      <w:pPr>
        <w:spacing w:after="30"/>
      </w:pPr>
      <w:r>
        <w:rPr>
          <w:sz w:val="15"/>
          <w:szCs w:val="15"/>
        </w:rPr>
        <w:t xml:space="preserve">noise_frac (0.05–0.25)  ·  window (6–12 years)  ·  n_boot for 2050 CI</w:t>
      </w:r>
    </w:p>
    <w:p>
      <w:pPr>
        <w:spacing w:after="50" w:before="120"/>
      </w:pPr>
      <w:r>
        <w:rPr>
          <w:b/>
          <w:bCs/>
          <w:color w:val="1B4332"/>
          <w:sz w:val="18"/>
          <w:szCs w:val="18"/>
        </w:rPr>
        <w:t xml:space="preserve">Audience rules (from supplied PDFs)</w:t>
      </w:r>
    </w:p>
    <w:p>
      <w:pPr>
        <w:spacing w:after="25"/>
      </w:pPr>
      <w:r>
        <w:rPr>
          <w:sz w:val="15"/>
          <w:szCs w:val="15"/>
        </w:rPr>
        <w:t xml:space="preserve">• High data literacy → keep R², residual notes, bootstrap CI</w:t>
      </w:r>
    </w:p>
    <w:p>
      <w:pPr>
        <w:spacing w:after="25"/>
      </w:pPr>
      <w:r>
        <w:rPr>
          <w:sz w:val="15"/>
          <w:szCs w:val="15"/>
        </w:rPr>
        <w:t xml:space="preserve">• Executives → one headline number + the future chart</w:t>
      </w:r>
    </w:p>
    <w:p>
      <w:pPr>
        <w:spacing w:after="25"/>
      </w:pPr>
      <w:r>
        <w:rPr>
          <w:sz w:val="15"/>
          <w:szCs w:val="15"/>
        </w:rPr>
        <w:t xml:space="preserve">• Agronomists → yield vs volume drivers; skip basic definitions</w:t>
      </w:r>
    </w:p>
    <w:p>
      <w:pPr>
        <w:spacing w:after="25"/>
      </w:pPr>
      <w:r>
        <w:rPr>
          <w:sz w:val="15"/>
          <w:szCs w:val="15"/>
        </w:rPr>
        <w:t xml:space="preserve">• Public → plain language, no OLS / R² unless defined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Keep open with the Practice notebook  | 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FoodProd LR —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2026-08-25T22:57:57.757Z</dcterms:created>
  <dcterms:modified xsi:type="dcterms:W3CDTF">2026-08-25T22:57:57.757Z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