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  <w:sz w:val="26"/>
          <w:szCs w:val="26"/>
        </w:rPr>
        <w:t xml:space="preserve">Honey Production Linear Regression — Cheat Sheet</w:t>
      </w:r>
    </w:p>
    <w:p>
      <w:pPr>
        <w:spacing w:after="60"/>
      </w:pPr>
      <w:r>
        <w:rPr>
          <w:b/>
          <w:bCs/>
          <w:color w:val="1B4332"/>
          <w:sz w:val="20"/>
          <w:szCs w:val="20"/>
        </w:rPr>
        <w:t xml:space="preserve">Core Pipeline (Pandas + sklearn)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Code snippet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Load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df = pd.read_csv("data/honeyproduction.csv")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Yearly mean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prod = df.groupby("year")["totalprod"].mean().reset_index()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 matrix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 = prod["year"].values.reshape(-1, 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Target y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 = prod["totalprod"].values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Fit model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regr = LinearRegression(); regr.fit(X, 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Slope / intercept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regr.coef_[0], regr.intercept_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R²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regr.score(X, y)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In-sample preds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y_pred = regr.predict(X)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Future years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X_fut = np.arange(2013, 2051).reshape(-1, 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Future preds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future_predict = regr.predict(X_fut)</w:t>
            </w:r>
          </w:p>
        </w:tc>
      </w:tr>
    </w:tbl>
    <w:p>
      <w:pPr>
        <w:spacing w:after="60" w:before="160"/>
      </w:pPr>
      <w:r>
        <w:rPr>
          <w:b/>
          <w:bCs/>
          <w:color w:val="1B4332"/>
          <w:sz w:val="20"/>
          <w:szCs w:val="20"/>
        </w:rPr>
        <w:t xml:space="preserve">Alternate Estimators (same numeric result)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6465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Snippet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np.polyfit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m, b = np.polyfit(years, y, 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Closed-form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 = Σ((x-x̄)(y-ȳ))/Σ((x-x̄)²);  b = ȳ − m·x̄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Pure Python</w:t>
            </w:r>
          </w:p>
        </w:tc>
        <w:tc>
          <w:tcPr>
            <w:tcW w:type="dxa" w:w="7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loops over (x_i − x̄)*(y_i − ȳ)  (educational)</w:t>
            </w:r>
          </w:p>
        </w:tc>
      </w:tr>
    </w:tbl>
    <w:p>
      <w:pPr>
        <w:spacing w:after="60" w:before="160"/>
      </w:pPr>
      <w:r>
        <w:rPr>
          <w:b/>
          <w:bCs/>
          <w:color w:val="1B4332"/>
          <w:sz w:val="20"/>
          <w:szCs w:val="20"/>
        </w:rPr>
        <w:t xml:space="preserve">Key Numbers from this Dataset (1998–2012)</w:t>
      </w:r>
    </w:p>
    <w:p>
      <w:pPr>
        <w:spacing w:after="40"/>
      </w:pPr>
      <w:r>
        <w:rPr>
          <w:sz w:val="17"/>
          <w:szCs w:val="17"/>
        </w:rPr>
        <w:t xml:space="preserve">Slope ≈ −88 303 lbs/year   |   Intercept ≈ 181.2 M   |   R² ≈ 0.585</w:t>
      </w:r>
    </w:p>
    <w:p>
      <w:pPr>
        <w:spacing w:after="40"/>
      </w:pPr>
      <w:r>
        <w:rPr>
          <w:sz w:val="17"/>
          <w:szCs w:val="17"/>
        </w:rPr>
        <w:t xml:space="preserve">2050 point forecast ≈ 186 500 lbs   |   Line crosses 0 ≈ year 2052</w:t>
      </w:r>
    </w:p>
    <w:p>
      <w:pPr>
        <w:spacing w:after="60" w:before="140"/>
      </w:pPr>
      <w:r>
        <w:rPr>
          <w:b/>
          <w:bCs/>
          <w:color w:val="1B4332"/>
          <w:sz w:val="20"/>
          <w:szCs w:val="20"/>
        </w:rPr>
        <w:t xml:space="preserve">Simulation Knobs</w:t>
      </w:r>
    </w:p>
    <w:p>
      <w:pPr>
        <w:spacing w:after="40"/>
      </w:pPr>
      <w:r>
        <w:rPr>
          <w:sz w:val="16"/>
          <w:szCs w:val="16"/>
        </w:rPr>
        <w:t xml:space="preserve">noise_frac (0.05–0.30) → width of slope histogram;  window (6–12) → last-N-year slope;  n_boot → CI width for 2050.</w:t>
      </w:r>
    </w:p>
    <w:p>
      <w:pPr>
        <w:spacing w:after="60" w:before="140"/>
      </w:pPr>
      <w:r>
        <w:rPr>
          <w:b/>
          <w:bCs/>
          <w:color w:val="1B4332"/>
          <w:sz w:val="20"/>
          <w:szCs w:val="20"/>
        </w:rPr>
        <w:t xml:space="preserve">Audience Quick Rules (from supplied PDFs)</w:t>
      </w:r>
    </w:p>
    <w:p>
      <w:pPr>
        <w:spacing w:after="30"/>
      </w:pPr>
      <w:r>
        <w:rPr>
          <w:sz w:val="16"/>
          <w:szCs w:val="16"/>
        </w:rPr>
        <w:t xml:space="preserve">• High data literacy → keep R², residual notes, bootstrap CI.</w:t>
      </w:r>
    </w:p>
    <w:p>
      <w:pPr>
        <w:spacing w:after="30"/>
      </w:pPr>
      <w:r>
        <w:rPr>
          <w:sz w:val="16"/>
          <w:szCs w:val="16"/>
        </w:rPr>
        <w:t xml:space="preserve">• Executives → one headline number + the future-projection chart.</w:t>
      </w:r>
    </w:p>
    <w:p>
      <w:pPr>
        <w:spacing w:after="30"/>
      </w:pPr>
      <w:r>
        <w:rPr>
          <w:sz w:val="16"/>
          <w:szCs w:val="16"/>
        </w:rPr>
        <w:t xml:space="preserve">• Subject experts (apiculture) → colonies vs yield drivers; skip biology primer.</w:t>
      </w:r>
    </w:p>
    <w:p>
      <w:pPr>
        <w:spacing w:after="30"/>
      </w:pPr>
      <w:r>
        <w:rPr>
          <w:sz w:val="16"/>
          <w:szCs w:val="16"/>
        </w:rPr>
        <w:t xml:space="preserve">• Nonspecialists → plain language, no “OLS / CCD / R²” unless defined.</w:t>
      </w:r>
    </w:p>
    <w:p>
      <w:pPr>
        <w:spacing w:after="30"/>
      </w:pPr>
      <w:r>
        <w:rPr>
          <w:sz w:val="16"/>
          <w:szCs w:val="16"/>
        </w:rPr>
        <w:t xml:space="preserve">• Mixed → clear headings so each reader can stop at the depth they need.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Keep open beside the Practice Skeleton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Honey Production LR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2026-08-25T20:23:40.445Z</dcterms:created>
  <dcterms:modified xsi:type="dcterms:W3CDTF">2026-08-25T20:23:40.445Z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