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32"/>
          <w:szCs w:val="32"/>
        </w:rPr>
        <w:t xml:space="preserve">Student At-Risk Classification</w:t>
      </w:r>
    </w:p>
    <w:p>
      <w:pPr>
        <w:spacing w:after="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students.csv  ·  7,200 cleaned SIS codes  ·  Random Forest  ·  short name EduRisk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Problem Statement</w:t>
      </w:r>
    </w:p>
    <w:p>
      <w:pPr>
        <w:spacing w:after="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Flag whether a student is on-track (o) or at-risk (r) from 23 categorical SIS marks (attendance, homework, prior GPA, advisor contact, setting). Missing advisor values are stored as “?”; roster-flag is constant; a missed at-risk flag is the costly error. The table is a synthetic teaching extract — not a live district warehouse.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Solution Strategy</w:t>
      </w:r>
    </w:p>
    <w:p>
      <w:pPr>
        <w:spacing w:after="6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Recode “?” → “u” in advisor and drop 8 exact duplicates. Plot status balance, attendance × status, and prior-GPA × status; rank a temporary factorize encoding and draw a 12 × 12 heatmap (target excluded). Drop roster-flag. LabelEncode every remaining column. Freeze an 80/20 split at random_state=42. Fit RandomForestClassifier(random_state=42). Report accuracy, the confusion matrix, and Gini importances. Compare a decision tree, one-hot logistic regression, an attendance-majority rule, and mutual information. Sweep max_depth, dropped features, label-flip %, and training 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Solution</w:t>
      </w:r>
    </w:p>
    <w:p>
      <w:pPr>
        <w:spacing w:after="4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8"/>
          <w:szCs w:val="18"/>
        </w:rPr>
        <w:t xml:space="preserve">Cleaned frame: 7,200 × 24, 2,073 unknown advisors recoded to u, 8 duplicates dropped, 3,832 on-track / 3,368 at-risk (53.2 / 46.8). After dropping roster-flag: X_train (5,760 × 22), X_test (1,440 × 22). LabelEncoder maps o→0, r→1. Default RF test accuracy = 0.763; confusion matrix [[601, 159], [183, 497]] — 183 missed at-risk flags on this seed. Attendance Gini ≈ 0.211, then homework ≈ 0.083, prior-gpa ≈ 0.065. An attendance-majority rule scores 0.707; one-hot logistic regression (66 dummies) reaches 0.797. Depth-1 forest ≈ 0.65; depth 8 ≈ 0.75. Factorize |corr| can rank homework first — Gini and MI both restore attendance as the driver.</w:t>
      </w:r>
    </w:p>
    <w:p>
      <w:pPr>
        <w:spacing w:after="40" w:before="40"/>
        <w:jc w:val="center"/>
      </w:pPr>
      <w:r>
        <w:drawing>
          <wp:inline distT="0" distB="0" distL="0" distR="0">
            <wp:extent cx="3429000" cy="1676400"/>
            <wp:effectExtent t="0" r="0" b="0" l="0"/>
            <wp:docPr id="1" name="Attendance versus status" descr="Attendance versus status" title="Attendance versus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5"/>
          <w:szCs w:val="15"/>
        </w:rPr>
        <w:t xml:space="preserve">Attendance nearly partitions the tails. Always-present students lean on-track; rarely/never lean at-risk. Sometimes/usually overlap.</w:t>
      </w:r>
    </w:p>
    <w:p>
      <w:pPr>
        <w:spacing w:after="40" w:before="40"/>
        <w:jc w:val="center"/>
      </w:pPr>
      <w:r>
        <w:drawing>
          <wp:inline distT="0" distB="0" distL="0" distR="0">
            <wp:extent cx="1428750" cy="1266825"/>
            <wp:effectExtent t="0" r="0" b="0" l="0"/>
            <wp:docPr id="1" name="Confusion matrix" descr="Confusion matrix" title="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5"/>
          <w:szCs w:val="15"/>
        </w:rPr>
        <w:t xml:space="preserve">Hold-out confusion matrix. Bottom-left (183) is the costly cell: actual at-risk, predicted on-track.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Showing up is the loud clue in this codebook. Prior GPA band is not enough on its own.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Treat “?” as its own level. Imputing the brief-contact mode invents an advisor visit nobody logged.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 12-feature heatmap must be 12 × 12 — drop status before .head(12). Factorize |corr| is a sketch.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LabelEncoder is enough for RF; one-hot if you also fit logistic regression.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Score the costly cell (actual r, predicted o), not only accuracy. Thresholds buy recall with extra alarms.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Do not grade, place, or deny aid from this model. Synthetic codes, counselor in the loop.</w:t>
      </w:r>
    </w:p>
    <w:sectPr>
      <w:headerReference w:type="default" r:id="rId7"/>
      <w:footerReference w:type="default" r:id="rId8"/>
      <w:pgSz w:w="12240" w:h="15840" w:orient="portrait"/>
      <w:pgMar w:top="540" w:right="640" w:bottom="54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EduRisk  ·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EduRisk  ·  1-page summary  ·  not a grading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B5E2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4A14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adf13d82c7388e051d96a4b1c0b49573051c163.png"/><Relationship Id="rId10" Type="http://schemas.openxmlformats.org/officeDocument/2006/relationships/image" Target="media/5cdd5027010d5279430243f3b4c55bdc0599557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2026-09-09T09:36:54.353Z</dcterms:created>
  <dcterms:modified xsi:type="dcterms:W3CDTF">2026-09-09T09:36:54.353Z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