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40"/>
        <w:jc w:val="left"/>
      </w:pPr>
      <w:r>
        <w:rPr>
          <w:rFonts w:ascii="Arial" w:cs="Arial" w:eastAsia="Arial" w:hAnsi="Arial"/>
          <w:b/>
          <w:bCs/>
          <w:i w:val="false"/>
          <w:iCs w:val="false"/>
          <w:color w:val="1B5E20"/>
          <w:sz w:val="32"/>
          <w:szCs w:val="32"/>
        </w:rPr>
        <w:t xml:space="preserve">Project memo — Mushroom edibility classification</w:t>
      </w:r>
    </w:p>
    <w:p>
      <w:pPr>
        <w:spacing w:after="80" w:before="0" w:line="240"/>
        <w:jc w:val="left"/>
      </w:pPr>
      <w:r>
        <w:rPr>
          <w:rFonts w:ascii="Arial" w:cs="Arial" w:eastAsia="Arial" w:hAnsi="Arial"/>
          <w:b w:val="false"/>
          <w:bCs w:val="false"/>
          <w:i w:val="false"/>
          <w:iCs w:val="false"/>
          <w:color w:val="555555"/>
          <w:sz w:val="18"/>
          <w:szCs w:val="18"/>
        </w:rPr>
        <w:t xml:space="preserve">To: course staff / project reviewers    From: MushEdib    Re: audience rewrite of one result</w:t>
      </w:r>
    </w:p>
    <w:p>
      <w:pPr>
        <w:spacing w:after="80" w:before="0" w:line="240"/>
        <w:jc w:val="left"/>
      </w:pPr>
      <w:r>
        <w:rPr>
          <w:rFonts w:ascii="Arial" w:cs="Arial" w:eastAsia="Arial" w:hAnsi="Arial"/>
          <w:b w:val="false"/>
          <w:bCs w:val="false"/>
          <w:i w:val="false"/>
          <w:iCs w:val="false"/>
          <w:color w:val="222222"/>
          <w:sz w:val="21"/>
          <w:szCs w:val="21"/>
        </w:rPr>
        <w:t xml:space="preserve">This memo restates the same hold-out numbers for four readers using the attached “What to Consider When Considering the Audience” checklist (data literacy, subject knowledge, time span) and McMurrey’s expert / technician / executive / nonspecialist split. It is not medical, culinary, or legal advice.</w:t>
      </w:r>
    </w:p>
    <w:p>
      <w:pPr>
        <w:pStyle w:val="Heading1"/>
        <w:spacing w:after="80" w:before="160"/>
      </w:pPr>
      <w:r>
        <w:rPr>
          <w:rFonts w:ascii="Arial" w:cs="Arial" w:eastAsia="Arial" w:hAnsi="Arial"/>
          <w:b/>
          <w:bCs/>
          <w:color w:val="1B5E20"/>
          <w:sz w:val="26"/>
          <w:szCs w:val="26"/>
        </w:rPr>
        <w:t xml:space="preserve">The result, in one block</w:t>
      </w:r>
    </w:p>
    <w:p>
      <w:pPr>
        <w:spacing w:after="80" w:before="0" w:line="240"/>
        <w:jc w:val="left"/>
      </w:pPr>
      <w:r>
        <w:rPr>
          <w:rFonts w:ascii="Arial" w:cs="Arial" w:eastAsia="Arial" w:hAnsi="Arial"/>
          <w:b w:val="false"/>
          <w:bCs w:val="false"/>
          <w:i w:val="false"/>
          <w:iCs w:val="false"/>
          <w:color w:val="222222"/>
          <w:sz w:val="20"/>
          <w:szCs w:val="20"/>
        </w:rPr>
        <w:t xml:space="preserve">On the UCI mushroom codebook (8,124 rows, 21 usable field marks after dropping constant veil-type) a default random forest with seed 42 records 1.000 accuracy on 1,625 held-out rows and zero false edibles. Odor dominates Gini importance (~0.19) and mutual information (~0.63). A one-column odor majority rule already reaches 0.985. Depth-1 trees sit near 0.87. Fifty training rows already reach ~0.94. Cap color overlaps both classes.</w:t>
      </w:r>
    </w:p>
    <w:p>
      <w:pPr>
        <w:pStyle w:val="Heading1"/>
        <w:spacing w:after="80" w:before="160"/>
      </w:pPr>
      <w:r>
        <w:rPr>
          <w:rFonts w:ascii="Arial" w:cs="Arial" w:eastAsia="Arial" w:hAnsi="Arial"/>
          <w:b/>
          <w:bCs/>
          <w:color w:val="1B5E20"/>
          <w:sz w:val="26"/>
          <w:szCs w:val="26"/>
        </w:rPr>
        <w:t xml:space="preserve">1. Expert — mycologist or ML reviewer</w:t>
      </w:r>
    </w:p>
    <w:p>
      <w:pPr>
        <w:spacing w:after="80" w:before="0" w:line="240"/>
        <w:jc w:val="left"/>
      </w:pPr>
      <w:r>
        <w:rPr>
          <w:rFonts w:ascii="Arial" w:cs="Arial" w:eastAsia="Arial" w:hAnsi="Arial"/>
          <w:b w:val="false"/>
          <w:bCs w:val="false"/>
          <w:i w:val="false"/>
          <w:iCs w:val="false"/>
          <w:color w:val="222222"/>
          <w:sz w:val="20"/>
          <w:szCs w:val="20"/>
        </w:rPr>
        <w:t xml:space="preserve">Data literacy high, subject knowledge high, time span long. Skip the “what is a random forest” paragraph. They will want the collision between recoded unknown and official cup (both “u”), the fact that factorize correlations invent an order, and why a 1.0 hold-out is unsurprising: the features were collected as a field key for this label. Mention that one-hot logistic regression also separates the table (116 dummies) so the story is the codebook, not the algorithm. Offer MI vs Gini vs |corr| side by side (odor, spore-print-color, ring-type, gill-size). Flag that veil-type is a zero-variance column and that stalk-root missingness is 30.5%. Do not dress the model as a new species classifier.</w:t>
      </w:r>
    </w:p>
    <w:p>
      <w:pPr>
        <w:pStyle w:val="Heading1"/>
        <w:spacing w:after="80" w:before="160"/>
      </w:pPr>
      <w:r>
        <w:rPr>
          <w:rFonts w:ascii="Arial" w:cs="Arial" w:eastAsia="Arial" w:hAnsi="Arial"/>
          <w:b/>
          <w:bCs/>
          <w:color w:val="1B5E20"/>
          <w:sz w:val="26"/>
          <w:szCs w:val="26"/>
        </w:rPr>
        <w:t xml:space="preserve">2. Technician — key-writer or app implementer</w:t>
      </w:r>
    </w:p>
    <w:p>
      <w:pPr>
        <w:spacing w:after="80" w:before="0" w:line="240"/>
        <w:jc w:val="left"/>
      </w:pPr>
      <w:r>
        <w:rPr>
          <w:rFonts w:ascii="Arial" w:cs="Arial" w:eastAsia="Arial" w:hAnsi="Arial"/>
          <w:b w:val="false"/>
          <w:bCs w:val="false"/>
          <w:i w:val="false"/>
          <w:iCs w:val="false"/>
          <w:color w:val="222222"/>
          <w:sz w:val="20"/>
          <w:szCs w:val="20"/>
        </w:rPr>
        <w:t xml:space="preserve">Practical knowledge, short time. Lead with the pipeline they will type: replace “?” with a dedicated level, drop veil-type, LabelEncode, freeze seed 42, fit RF, keep predict_proba so a later threshold can bias toward “poisonous.” Give them the 2-feature card (odor + spore-print-color) as a fallback when a user only filled two dropdowns. State the costly cell in operational language: never return “edible” when the forest’s P(poisonous) is even modestly above zero if the product copy sounds like advice. Ship a disclaimer string, not just a softmax.</w:t>
      </w:r>
    </w:p>
    <w:p>
      <w:pPr>
        <w:pStyle w:val="Heading1"/>
        <w:spacing w:after="80" w:before="160"/>
      </w:pPr>
      <w:r>
        <w:rPr>
          <w:rFonts w:ascii="Arial" w:cs="Arial" w:eastAsia="Arial" w:hAnsi="Arial"/>
          <w:b/>
          <w:bCs/>
          <w:color w:val="1B5E20"/>
          <w:sz w:val="26"/>
          <w:szCs w:val="26"/>
        </w:rPr>
        <w:t xml:space="preserve">3. Executive — park service, food-safety desk, insurer</w:t>
      </w:r>
    </w:p>
    <w:p>
      <w:pPr>
        <w:spacing w:after="80" w:before="0" w:line="240"/>
        <w:jc w:val="left"/>
      </w:pPr>
      <w:r>
        <w:rPr>
          <w:rFonts w:ascii="Arial" w:cs="Arial" w:eastAsia="Arial" w:hAnsi="Arial"/>
          <w:b w:val="false"/>
          <w:bCs w:val="false"/>
          <w:i w:val="false"/>
          <w:iCs w:val="false"/>
          <w:color w:val="222222"/>
          <w:sz w:val="20"/>
          <w:szCs w:val="20"/>
        </w:rPr>
        <w:t xml:space="preserve">Low technical depth, very short time. Three sentences. The historical codebook is nearly balanced (52% edible / 48% poisonous). A standard tree ensemble makes no mistakes on a random 20% slice of that book. That does not authorize a public “is this mushroom safe?” button, a receiving spec for a kitchen, or a substitute for a certified identifier. The useful management takeaway is process: unknown measurements should stay unknown; a constant column should be dropped; the error that matters is a false edible. Budget for a human review step, not for a bigger forest.</w:t>
      </w:r>
    </w:p>
    <w:p>
      <w:pPr>
        <w:pStyle w:val="Heading1"/>
        <w:spacing w:after="80" w:before="160"/>
      </w:pPr>
      <w:r>
        <w:rPr>
          <w:rFonts w:ascii="Arial" w:cs="Arial" w:eastAsia="Arial" w:hAnsi="Arial"/>
          <w:b/>
          <w:bCs/>
          <w:color w:val="1B5E20"/>
          <w:sz w:val="26"/>
          <w:szCs w:val="26"/>
        </w:rPr>
        <w:t xml:space="preserve">4. Nonspecialist — curious reader</w:t>
      </w:r>
    </w:p>
    <w:p>
      <w:pPr>
        <w:spacing w:after="80" w:before="0" w:line="240"/>
        <w:jc w:val="left"/>
      </w:pPr>
      <w:r>
        <w:rPr>
          <w:rFonts w:ascii="Arial" w:cs="Arial" w:eastAsia="Arial" w:hAnsi="Arial"/>
          <w:b w:val="false"/>
          <w:bCs w:val="false"/>
          <w:i w:val="false"/>
          <w:iCs w:val="false"/>
          <w:color w:val="222222"/>
          <w:sz w:val="20"/>
          <w:szCs w:val="20"/>
        </w:rPr>
        <w:t xml:space="preserve">Low data literacy, low subject knowledge, short time. Use bars and everyday words. In this old field-guide table, smell is the loud clue: almond and anise line up with “safe to eat in the book,” foul and fishy line up with “poisonous in the book,” and “no smell” is the messy middle. Cap color is a weak clue by itself — brown, white, and yellow show up on both sides. A computer can memorize this book. It cannot look at the mushroom by the trail. Do not eat wild mushrooms because a notebook printed 100%.</w:t>
      </w:r>
    </w:p>
    <w:p>
      <w:pPr>
        <w:pStyle w:val="Heading1"/>
        <w:spacing w:after="80" w:before="160"/>
      </w:pPr>
      <w:r>
        <w:rPr>
          <w:rFonts w:ascii="Arial" w:cs="Arial" w:eastAsia="Arial" w:hAnsi="Arial"/>
          <w:b/>
          <w:bCs/>
          <w:color w:val="1B5E20"/>
          <w:sz w:val="26"/>
          <w:szCs w:val="26"/>
        </w:rPr>
        <w:t xml:space="preserve">Situation notes</w:t>
      </w:r>
    </w:p>
    <w:p>
      <w:pPr>
        <w:pStyle w:val="ListParagraph"/>
        <w:numPr>
          <w:ilvl w:val="0"/>
          <w:numId w:val="2"/>
        </w:numPr>
        <w:spacing w:after="40"/>
      </w:pPr>
      <w:r>
        <w:rPr>
          <w:rFonts w:ascii="Arial" w:cs="Arial" w:eastAsia="Arial" w:hAnsi="Arial"/>
          <w:color w:val="222222"/>
          <w:sz w:val="20"/>
          <w:szCs w:val="20"/>
        </w:rPr>
        <w:t xml:space="preserve">C-level slide: one number (0 false edibles on hold-out) + one constraint (not a field test).</w:t>
      </w:r>
    </w:p>
    <w:p>
      <w:pPr>
        <w:pStyle w:val="ListParagraph"/>
        <w:numPr>
          <w:ilvl w:val="0"/>
          <w:numId w:val="2"/>
        </w:numPr>
        <w:spacing w:after="40"/>
      </w:pPr>
      <w:r>
        <w:rPr>
          <w:rFonts w:ascii="Arial" w:cs="Arial" w:eastAsia="Arial" w:hAnsi="Arial"/>
          <w:color w:val="222222"/>
          <w:sz w:val="20"/>
          <w:szCs w:val="20"/>
        </w:rPr>
        <w:t xml:space="preserve">Long-read appendix: decoder table, MI ranking, simulation panel, collision note on “u”.</w:t>
      </w:r>
    </w:p>
    <w:p>
      <w:pPr>
        <w:pStyle w:val="ListParagraph"/>
        <w:numPr>
          <w:ilvl w:val="0"/>
          <w:numId w:val="2"/>
        </w:numPr>
        <w:spacing w:after="40"/>
      </w:pPr>
      <w:r>
        <w:rPr>
          <w:rFonts w:ascii="Arial" w:cs="Arial" w:eastAsia="Arial" w:hAnsi="Arial"/>
          <w:color w:val="222222"/>
          <w:sz w:val="20"/>
          <w:szCs w:val="20"/>
        </w:rPr>
        <w:t xml:space="preserve">Mixed audience document: headings that tell each reader which section to skip.</w:t>
      </w:r>
    </w:p>
    <w:p>
      <w:pPr>
        <w:pStyle w:val="ListParagraph"/>
        <w:numPr>
          <w:ilvl w:val="0"/>
          <w:numId w:val="2"/>
        </w:numPr>
        <w:spacing w:after="40"/>
      </w:pPr>
      <w:r>
        <w:rPr>
          <w:rFonts w:ascii="Arial" w:cs="Arial" w:eastAsia="Arial" w:hAnsi="Arial"/>
          <w:color w:val="222222"/>
          <w:sz w:val="20"/>
          <w:szCs w:val="20"/>
        </w:rPr>
        <w:t xml:space="preserve">International readers: do not assume “ amanita” jokes or baseball metaphors land.</w:t>
      </w:r>
    </w:p>
    <w:p>
      <w:pPr>
        <w:pStyle w:val="Heading1"/>
        <w:spacing w:after="80" w:before="160"/>
      </w:pPr>
      <w:r>
        <w:rPr>
          <w:rFonts w:ascii="Arial" w:cs="Arial" w:eastAsia="Arial" w:hAnsi="Arial"/>
          <w:b/>
          <w:bCs/>
          <w:color w:val="1B5E20"/>
          <w:sz w:val="26"/>
          <w:szCs w:val="26"/>
        </w:rPr>
        <w:t xml:space="preserve">What this project is not</w:t>
      </w:r>
    </w:p>
    <w:p>
      <w:pPr>
        <w:spacing w:after="80" w:before="0" w:line="240"/>
        <w:jc w:val="left"/>
      </w:pPr>
      <w:r>
        <w:rPr>
          <w:rFonts w:ascii="Arial" w:cs="Arial" w:eastAsia="Arial" w:hAnsi="Arial"/>
          <w:b w:val="false"/>
          <w:bCs w:val="false"/>
          <w:i w:val="false"/>
          <w:iCs w:val="false"/>
          <w:color w:val="222222"/>
          <w:sz w:val="20"/>
          <w:szCs w:val="20"/>
        </w:rPr>
        <w:t xml:space="preserve">Not a diagnosis of poisoning. Not a restaurant standard. Not a citizen-science identifier for new photos. The pattern — all-categorical marks, costly false negative, tree ensemble, audience rewrite — does transfer to other coded field sheets.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MushEdib memo  ·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jc w:val="left"/>
    </w:pPr>
    <w:r>
      <w:rPr>
        <w:rFonts w:ascii="Arial" w:cs="Arial" w:eastAsia="Arial" w:hAnsi="Arial"/>
        <w:b w:val="false"/>
        <w:bCs w:val="false"/>
        <w:i w:val="false"/>
        <w:iCs w:val="false"/>
        <w:color w:val="555555"/>
        <w:sz w:val="16"/>
        <w:szCs w:val="16"/>
      </w:rPr>
      <w:t xml:space="preserve">MushEdib project memo  ·  four audiences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bullet"/>
      <w:lvlText w:val="•"/>
      <w:lvlJc w:val="left"/>
      <w:pPr>
        <w:ind w:left="360" w:hanging="180"/>
      </w:pPr>
    </w:lvl>
  </w:abstractNum>
  <w:abstractNum w:abstractNumId="4" w15:restartNumberingAfterBreak="0">
    <w:multiLevelType w:val="hybridMultilevel"/>
    <w:lvl w:ilvl="0" w15:tentative="1">
      <w:start w:val="1"/>
      <w:numFmt w:val="bullet"/>
      <w:lvlText w:val="•"/>
      <w:lvlJc w:val="left"/>
      <w:pPr>
        <w:ind w:left="360" w:hanging="180"/>
      </w:pPr>
    </w:lvl>
  </w:abstractNum>
  <w:abstractNum w:abstractNumId="5"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Arial" w:cs="Arial" w:eastAsia="Arial" w:hAnsi="Arial"/>
      <w:b/>
      <w:bCs/>
      <w:color w:val="1B5E20"/>
      <w:sz w:val="28"/>
      <w:szCs w:val="28"/>
    </w:rPr>
  </w:style>
  <w:style w:type="paragraph" w:styleId="Heading2">
    <w:name w:val="Heading 2"/>
    <w:basedOn w:val="Normal"/>
    <w:next w:val="Normal"/>
    <w:qFormat/>
    <w:pPr>
      <w:spacing w:after="80" w:before="180"/>
      <w:outlineLvl w:val="1"/>
    </w:pPr>
    <w:rPr>
      <w:rFonts w:ascii="Arial" w:cs="Arial" w:eastAsia="Arial" w:hAnsi="Arial"/>
      <w:b/>
      <w:bCs/>
      <w:color w:val="4A14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2026-09-09T09:24:43.309Z</dcterms:created>
  <dcterms:modified xsi:type="dcterms:W3CDTF">2026-09-09T09:24:43.309Z</dcterms:modified>
</cp:coreProperties>
</file>

<file path=docProps/custom.xml><?xml version="1.0" encoding="utf-8"?>
<Properties xmlns="http://schemas.openxmlformats.org/officeDocument/2006/custom-properties" xmlns:vt="http://schemas.openxmlformats.org/officeDocument/2006/docPropsVTypes"/>
</file>