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32"/>
          <w:szCs w:val="32"/>
        </w:rPr>
        <w:t xml:space="preserve">Strategy guide — MushEdib pattern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When to copy this extended project, when not to, and how to swap the domain without lengthening the GitHub name.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Use this pattern when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Every predictor is a small codebook (letters, flags, bins), not a continuous sensor.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label is binary and one mistake is much costlier than the other.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You need a teaching sequence: clean token missingness → two contrasting plots → encode → tree → costly cell → knobs.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 strong one-feature rule exists (here: odor) and you want students to beat a baseline that is already 98%.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Do not use this pattern when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job is image identification. This table has no pixels.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Features are continuous and collinear in a linear-model sense — start from WineReg or a GLM lab.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You need calibrated probabilities for a pricing or medical threshold. Default RF scores here are over-confident because the table is separable.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business question is “how much” rather than “which class” — use a regressor template.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Recommended vs not, in this domain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Not recommended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Teaching categorical RF + costly FN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Public eat / do-not-eat API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Comparing LE vs one-hot on the same split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Replacing a certified identifier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Showing that depth-1 is already strong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Claiming 100% generalizes off-table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Documenting a missing-token collision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Imputing mode and forgetting to say so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Audience rewrite of one matrix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 40-page mushroom monograph</w:t>
            </w:r>
          </w:p>
        </w:tc>
      </w:tr>
    </w:tbl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How to adapt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Copy MushEdib_Reusable_Template.ipynb. Change DATA_PATH, TARGET, POSITIVE, MISSING_TOKEN. Keep the short GitHub stem to six–ten characters (MushEdib, BankRFM, WineReg). Rewrite the four audience paragraphs; do not leave “poisonous” in a credit-risk fork. Replace the odor plot with whatever column your EDA flags first. If the new table is not separable, the simulation panel will move on n_estimators — leave that knob in.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File contract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File</w:t>
            </w:r>
          </w:p>
        </w:tc>
        <w:tc>
          <w:tcPr>
            <w:tcW w:type="dxa" w:w="5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MushEdib_Practice_Skeleton.ipynb</w:t>
            </w:r>
          </w:p>
        </w:tc>
        <w:tc>
          <w:tcPr>
            <w:tcW w:type="dxa" w:w="5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Student work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MushEdib_Solution.ipynb</w:t>
            </w:r>
          </w:p>
        </w:tc>
        <w:tc>
          <w:tcPr>
            <w:tcW w:type="dxa" w:w="5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Worked key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MushEdib_Reusable_Template.ipynb</w:t>
            </w:r>
          </w:p>
        </w:tc>
        <w:tc>
          <w:tcPr>
            <w:tcW w:type="dxa" w:w="5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Next-domain fork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MushEdib.py</w:t>
            </w:r>
          </w:p>
        </w:tc>
        <w:tc>
          <w:tcPr>
            <w:tcW w:type="dxa" w:w="5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load / clean / odor rule / costly_errors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data/mushrooms.csv</w:t>
            </w:r>
          </w:p>
        </w:tc>
        <w:tc>
          <w:tcPr>
            <w:tcW w:type="dxa" w:w="5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UCI letter codes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mushedib_*.png</w:t>
            </w:r>
          </w:p>
        </w:tc>
        <w:tc>
          <w:tcPr>
            <w:tcW w:type="dxa" w:w="5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flowchart + EDA + CM + sim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MushEdib_*Report/Memo/Cheatsheet/Strategy*.docx</w:t>
            </w:r>
          </w:p>
        </w:tc>
        <w:tc>
          <w:tcPr>
            <w:tcW w:type="dxa" w:w="5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audience pack</w:t>
            </w:r>
          </w:p>
        </w:tc>
      </w:tr>
    </w:tbl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Quality bar before you zip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Skeleton cells compile if the student fills every YOUR CODE HERE.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Solution prints the four shapes 6499 / 1625 and a 12-column heatmap.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Disclaimer appears in the intro cell, the 1-pager, and the memo.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GitHub name is short: MushEdib, not MushroomEdibilityClassificationExtended.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MushEdib strategy  · 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6"/>
        <w:szCs w:val="16"/>
      </w:rPr>
      <w:t xml:space="preserve">MushEdib strategy guide  ·  when to reuse this pattern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40"/>
      <w:outlineLvl w:val="0"/>
    </w:pPr>
    <w:rPr>
      <w:rFonts w:ascii="Arial" w:cs="Arial" w:eastAsia="Arial" w:hAnsi="Arial"/>
      <w:b/>
      <w:bCs/>
      <w:color w:val="1B5E2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4A14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2026-09-09T09:24:43.313Z</dcterms:created>
  <dcterms:modified xsi:type="dcterms:W3CDTF">2026-09-09T09:24:43.313Z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