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5276"/>
          <w:sz w:val="26"/>
          <w:szCs w:val="26"/>
        </w:rPr>
        <w:t xml:space="preserve">Project Memo — Audience-Adapted Messaging</w:t>
      </w:r>
    </w:p>
    <w:p>
      <w:pPr>
        <w:spacing w:after="200"/>
        <w:jc w:val="center"/>
      </w:pPr>
      <w:r>
        <w:rPr>
          <w:i/>
          <w:iCs/>
          <w:color w:val="555555"/>
          <w:sz w:val="18"/>
          <w:szCs w:val="18"/>
        </w:rPr>
        <w:t xml:space="preserve">Feature Scaling, Learning Rate &amp; Multi-Variable Linear Regression Lab</w:t>
      </w:r>
    </w:p>
    <w:p>
      <w:pPr>
        <w:spacing w:after="80" w:before="200"/>
      </w:pPr>
      <w:r>
        <w:rPr>
          <w:rFonts w:ascii="Calibri" w:cs="Calibri" w:eastAsia="Calibri" w:hAnsi="Calibri"/>
          <w:b/>
          <w:bCs/>
          <w:color w:val="1a5276"/>
          <w:sz w:val="24"/>
          <w:szCs w:val="24"/>
        </w:rPr>
        <w:t xml:space="preserve">Purpose of this memo</w:t>
      </w:r>
    </w:p>
    <w:p>
      <w:pPr>
        <w:spacing w:after="100"/>
      </w:pPr>
      <w:r>
        <w:rPr>
          <w:rFonts w:ascii="Calibri" w:cs="Calibri" w:eastAsia="Calibri" w:hAnsi="Calibri"/>
          <w:color w:val="222222"/>
          <w:sz w:val="20"/>
          <w:szCs w:val="20"/>
        </w:rPr>
        <w:t xml:space="preserve">This memo translates the technical lab into language appropriate for three audiences identified in the supplied PDFs (Experts/Technicians, Executives, Nonspecialists) and the data-literacy checklist from “What to Consider When Considering the Audience”.</w:t>
      </w:r>
    </w:p>
    <w:p>
      <w:pPr>
        <w:spacing w:after="80" w:before="200"/>
      </w:pPr>
      <w:r>
        <w:rPr>
          <w:rFonts w:ascii="Calibri" w:cs="Calibri" w:eastAsia="Calibri" w:hAnsi="Calibri"/>
          <w:b/>
          <w:bCs/>
          <w:color w:val="1a5276"/>
          <w:sz w:val="24"/>
          <w:szCs w:val="24"/>
        </w:rPr>
        <w:t xml:space="preserve">1. Technician / Data Scientist (high data literacy)</w:t>
      </w:r>
    </w:p>
    <w:p>
      <w:pPr>
        <w:spacing w:after="100"/>
      </w:pPr>
      <w:r>
        <w:rPr>
          <w:rFonts w:ascii="Calibri" w:cs="Calibri" w:eastAsia="Calibri" w:hAnsi="Calibri"/>
          <w:color w:val="222222"/>
          <w:sz w:val="20"/>
          <w:szCs w:val="20"/>
        </w:rPr>
        <w:t xml:space="preserve">Lead with the mathematics: show the simultaneous update rule, the partial derivatives, and the z-score formula. Emphasize that the cost surface becomes better conditioned after scaling (more circular contours) so a single α works for every coordinate. Include the three α experiments and the vectorized gradient implementation. Contour intuition and gradient-magnitude tables are appropriate.</w:t>
      </w:r>
    </w:p>
    <w:p>
      <w:pPr>
        <w:spacing w:after="80" w:before="200"/>
      </w:pPr>
      <w:r>
        <w:rPr>
          <w:rFonts w:ascii="Calibri" w:cs="Calibri" w:eastAsia="Calibri" w:hAnsi="Calibri"/>
          <w:b/>
          <w:bCs/>
          <w:color w:val="1a5276"/>
          <w:sz w:val="24"/>
          <w:szCs w:val="24"/>
        </w:rPr>
        <w:t xml:space="preserve">2. Executive / Decision Maker</w:t>
      </w:r>
    </w:p>
    <w:p>
      <w:pPr>
        <w:spacing w:after="100"/>
      </w:pPr>
      <w:r>
        <w:rPr>
          <w:rFonts w:ascii="Calibri" w:cs="Calibri" w:eastAsia="Calibri" w:hAnsi="Calibri"/>
          <w:color w:val="222222"/>
          <w:sz w:val="20"/>
          <w:szCs w:val="20"/>
        </w:rPr>
        <w:t xml:space="preserve">Open with the business outcome: “Without feature scaling the optimizer either diverges or requires thousands of iterations; after a one-line z-score transform the same algorithm converges in a few hundred steps and produces usable house-price predictions.” Give one concrete prediction (1200 sqft / 3 bed house ≈ $X). Skip equations; show only the cost-curve before/after and the final dollar estimate. Mention that the same pipeline can be re-used for any tabular pricing or risk model.</w:t>
      </w:r>
    </w:p>
    <w:p>
      <w:pPr>
        <w:spacing w:after="80" w:before="200"/>
      </w:pPr>
      <w:r>
        <w:rPr>
          <w:rFonts w:ascii="Calibri" w:cs="Calibri" w:eastAsia="Calibri" w:hAnsi="Calibri"/>
          <w:b/>
          <w:bCs/>
          <w:color w:val="1a5276"/>
          <w:sz w:val="24"/>
          <w:szCs w:val="24"/>
        </w:rPr>
        <w:t xml:space="preserve">3. Nonspecialist / Mixed audience</w:t>
      </w:r>
    </w:p>
    <w:p>
      <w:pPr>
        <w:spacing w:after="100"/>
      </w:pPr>
      <w:r>
        <w:rPr>
          <w:rFonts w:ascii="Calibri" w:cs="Calibri" w:eastAsia="Calibri" w:hAnsi="Calibri"/>
          <w:color w:val="222222"/>
          <w:sz w:val="20"/>
          <w:szCs w:val="20"/>
        </w:rPr>
        <w:t xml:space="preserve">Use the house analogy throughout. Avoid terms such as “gradient”, “partial derivative”, or “condition number”. Instead: “Some house measurements are measured in thousands (square feet) while others are single digits (number of bedrooms). The computer gets confused by the size difference and either takes steps that are too big or too small. We first put every measurement on the same scale—like converting everything to a common unit—then the computer learns the price pattern quickly and reliably.”</w:t>
      </w:r>
    </w:p>
    <w:p>
      <w:pPr>
        <w:spacing w:after="80" w:before="200"/>
      </w:pPr>
      <w:r>
        <w:rPr>
          <w:rFonts w:ascii="Calibri" w:cs="Calibri" w:eastAsia="Calibri" w:hAnsi="Calibri"/>
          <w:b/>
          <w:bCs/>
          <w:color w:val="1a5276"/>
          <w:sz w:val="24"/>
          <w:szCs w:val="24"/>
        </w:rPr>
        <w:t xml:space="preserve">Situation notes</w:t>
      </w:r>
    </w:p>
    <w:p>
      <w:pPr>
        <w:spacing w:after="100"/>
      </w:pPr>
      <w:r>
        <w:rPr>
          <w:rFonts w:ascii="Calibri" w:cs="Calibri" w:eastAsia="Calibri" w:hAnsi="Calibri"/>
          <w:color w:val="222222"/>
          <w:sz w:val="20"/>
          <w:szCs w:val="20"/>
        </w:rPr>
        <w:t xml:space="preserve">If the reader is under time pressure, put the scaled result and the single house prediction on the first page; move the α experiments and alternate scalers to an appendix. If the goal is training, keep the diagnostic experiments prominent so the learner experiences the failure modes before the fix.</w:t>
      </w:r>
    </w:p>
    <w:p>
      <w:pPr>
        <w:spacing w:after="80" w:before="200"/>
      </w:pPr>
      <w:r>
        <w:rPr>
          <w:rFonts w:ascii="Calibri" w:cs="Calibri" w:eastAsia="Calibri" w:hAnsi="Calibri"/>
          <w:b/>
          <w:bCs/>
          <w:color w:val="1a5276"/>
          <w:sz w:val="24"/>
          <w:szCs w:val="24"/>
        </w:rPr>
        <w:t xml:space="preserve">Checklist used</w:t>
      </w:r>
    </w:p>
    <w:p>
      <w:pPr>
        <w:spacing w:after="100"/>
      </w:pPr>
      <w:r>
        <w:rPr>
          <w:rFonts w:ascii="Calibri" w:cs="Calibri" w:eastAsia="Calibri" w:hAnsi="Calibri"/>
          <w:color w:val="222222"/>
          <w:sz w:val="20"/>
          <w:szCs w:val="20"/>
        </w:rPr>
        <w:t xml:space="preserve">Data literacy level, needs &amp; interests, background knowledge, cultural/format considerations, and mixed-audience heading structure—all drawn from the two audience PDFs supplied with the request.</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2026-08-23T17:45:01.707Z</dcterms:created>
  <dcterms:modified xsi:type="dcterms:W3CDTF">2026-08-23T17:45:01.708Z</dcterms:modified>
</cp:coreProperties>
</file>

<file path=docProps/custom.xml><?xml version="1.0" encoding="utf-8"?>
<Properties xmlns="http://schemas.openxmlformats.org/officeDocument/2006/custom-properties" xmlns:vt="http://schemas.openxmlformats.org/officeDocument/2006/docPropsVTypes"/>
</file>